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办公设备</w:t>
      </w:r>
      <w:r>
        <w:rPr>
          <w:rFonts w:hint="eastAsia" w:ascii="宋体" w:hAnsi="宋体" w:eastAsia="宋体" w:cs="宋体"/>
          <w:color w:val="auto"/>
          <w:sz w:val="32"/>
          <w:szCs w:val="32"/>
        </w:rPr>
        <w:t>项目采购需求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615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615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050"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台式电脑</w:t>
            </w:r>
          </w:p>
        </w:tc>
        <w:tc>
          <w:tcPr>
            <w:tcW w:w="6154" w:type="dxa"/>
          </w:tcPr>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b w:val="0"/>
                <w:color w:val="auto"/>
                <w:kern w:val="2"/>
                <w:sz w:val="24"/>
                <w:szCs w:val="24"/>
                <w:vertAlign w:val="baseline"/>
                <w:lang w:val="en-US" w:eastAsia="zh-CN" w:bidi="ar"/>
              </w:rPr>
              <w:t>云桌面终端：</w:t>
            </w:r>
            <w:r>
              <w:rPr>
                <w:rFonts w:hint="eastAsia" w:ascii="宋体" w:hAnsi="宋体" w:eastAsia="宋体" w:cs="宋体"/>
                <w:kern w:val="0"/>
                <w:sz w:val="24"/>
                <w:szCs w:val="24"/>
              </w:rPr>
              <w:t>▲配置≥Intel第十代i</w:t>
            </w:r>
            <w:r>
              <w:rPr>
                <w:rFonts w:hint="eastAsia" w:ascii="宋体" w:hAnsi="宋体" w:eastAsia="宋体" w:cs="宋体"/>
                <w:kern w:val="0"/>
                <w:sz w:val="24"/>
                <w:szCs w:val="24"/>
                <w:lang w:val="en-US" w:eastAsia="zh-CN"/>
              </w:rPr>
              <w:t>3四</w:t>
            </w:r>
            <w:r>
              <w:rPr>
                <w:rFonts w:hint="eastAsia" w:ascii="宋体" w:hAnsi="宋体" w:eastAsia="宋体" w:cs="宋体"/>
                <w:kern w:val="0"/>
                <w:sz w:val="24"/>
                <w:szCs w:val="24"/>
              </w:rPr>
              <w:t>核</w:t>
            </w:r>
            <w:r>
              <w:rPr>
                <w:rFonts w:hint="eastAsia" w:ascii="宋体" w:hAnsi="宋体" w:eastAsia="宋体" w:cs="宋体"/>
                <w:kern w:val="0"/>
                <w:sz w:val="24"/>
                <w:szCs w:val="24"/>
                <w:lang w:val="en-US" w:eastAsia="zh-CN"/>
              </w:rPr>
              <w:t>八</w:t>
            </w:r>
            <w:r>
              <w:rPr>
                <w:rFonts w:hint="eastAsia" w:ascii="宋体" w:hAnsi="宋体" w:eastAsia="宋体" w:cs="宋体"/>
                <w:kern w:val="0"/>
                <w:sz w:val="24"/>
                <w:szCs w:val="24"/>
              </w:rPr>
              <w:t>线程处理器（处理器主频≥3.</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 xml:space="preserve">GHz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睿频≥4.</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GHz ）；内存≥8GB，显卡≥Intel UHD 630；本地存储≥256 GB SSD</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配置1个wifi5无线网卡</w:t>
            </w:r>
            <w:r>
              <w:rPr>
                <w:rFonts w:hint="eastAsia" w:ascii="宋体" w:hAnsi="宋体" w:eastAsia="宋体" w:cs="宋体"/>
                <w:kern w:val="0"/>
                <w:sz w:val="24"/>
                <w:szCs w:val="24"/>
              </w:rPr>
              <w:t>；</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★为节约桌面空间，终端主体尺寸部分(L*W*H)≤20cm*20cm*4.44cm；</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▲USB接口≥8个（包含≥4个USB 3.0接口），≥1个千兆网口，≥1个VGA接口，≥1个HDMI接口，≥1对音频输入输出接口，且支持4段式耳机音频输入及输出；</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▲配置≥1个内存扩展槽，配置≥</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个硬盘扩展槽；</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★为保障所投设备质量优异，可靠性高，要求所投设备平均故障间隔时间（MTBF）不低于</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0000小时，并提供第三方权威证书和测试报告复印件；</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为了降低部署难度，终端首次上电后支持终端配置向导，无需管理员账号即可实现终端配置，降低配置难度；</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支持上电自启动功能，并能够根据实际使用情况选择关闭或开启；</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★终端支持完全离线模式，即在云终端控制器连接中断时，依然可使用当前正在使用的镜像环境，保障业务连续性，提供功能截图；</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要求所投产品支持个性化配置保存功能，在还原桌面的情况下，可以将个性化信息（比如输入法个性程序）保存至个人数据盘中；</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▲为满足使用者对于不同操作系统的使用需求，云终端需在第十代CPU下运行win7（32位）系统；</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▲支持802.1x认证；</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★为了方便后期的应用扩展，要求终端支持部署成IDV或TCI模式，要求提供实际操作截图；</w:t>
            </w:r>
          </w:p>
          <w:p>
            <w:p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二、终端配套虚拟化软件技术参数：</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采用BS软件架构，中文图形化管理页面；</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▲为了方便管理和使用，要求管理平台至少要包括镜像管理、教室管理、用户管理等关键功能模块；</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为了方便后期的扩展性，要求单台服务器即可支持对IDV、TCI终端的统一纳管，要求在管理页面首页即可查看IDV、TCI终端的使用情况；</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后期的扩展性，要求一台终端具备可以同时部署IDV、TCI桌面的能力，并且可以实际使用。可以在镜像选择页面同时提供2种镜像，根据用户选择的镜像进入系统的同时自动判断使用哪种类型的桌面启动；</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为了满足基本教学的使用需求，要求镜像模版可以使用多种类型的操作系统，至少包括：win7 、win 10、win server 2008、win server 2012、Redhat、Ubuntu等操作系统版本；</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▲提供虚拟教室功能，能够按照教室规模创建不同的虚拟教室，每个虚拟教室独立管理和配置，在云终端控制器管理页面能够实现对独立教室的学生终端、教师云终端分别进行配置和管理；</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提供教学镜像隐藏功能，在云桌面控制器后台可实现针对指定教室的部分教学镜像对学生可见，部分镜像（如考试镜像）对学生不可见，当需要使用的时候，只需一键设置学生即可看到镜像，保证重要镜像的安全性；</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终端支持完全离线模式，即在云终端控制器连接中断时，依然可使用当前正在使用的镜像环境，保障业务连续性；</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方便正版软件的部署和使用，要求所投产品支持个性化配置保存功能，在还原桌面的情况下，首次完成软件的逐台注册激活后，可以将激活信息保存至个人数据盘中。之后即使更新镜像模版也不会破坏激活信息，无需重新激活；</w:t>
            </w: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kern w:val="0"/>
                <w:sz w:val="24"/>
                <w:szCs w:val="24"/>
              </w:rPr>
              <w:t>为了管理的便捷性，要求管理员可以通过服务器集群的web管理平台唤醒远程不同网段的终端，中间无需使用跳板机转发，整个过程一键操作无需在web管理平台反复启动和关闭虚拟机。</w:t>
            </w:r>
          </w:p>
          <w:p>
            <w:pPr>
              <w:widowControl/>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显示器</w:t>
            </w:r>
            <w:r>
              <w:rPr>
                <w:rFonts w:hint="eastAsia" w:ascii="宋体" w:hAnsi="宋体" w:eastAsia="宋体" w:cs="宋体"/>
                <w:sz w:val="24"/>
                <w:szCs w:val="24"/>
                <w:lang w:eastAsia="zh-CN"/>
              </w:rPr>
              <w:t>：</w:t>
            </w:r>
          </w:p>
          <w:p>
            <w:pPr>
              <w:numPr>
                <w:ilvl w:val="0"/>
                <w:numId w:val="3"/>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▲配置WLED尺寸≥23.8英寸，分辨率≥1920×1080，刷新率≥75Hz(HDMI)，VGA接口≥1个，HDMI接口≥1个；</w:t>
            </w:r>
          </w:p>
          <w:p>
            <w:pPr>
              <w:numPr>
                <w:ilvl w:val="0"/>
                <w:numId w:val="3"/>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硬件形态：为保障使用时的动态清晰度、色彩还原准确、可视角度等方面的体验，需采用IPS屏，窄边框设计，水平及垂直可视角度≥178°，亮度≥250 cd/m²，对比度≥1,000:1，原生8bit色深</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▲为了保证产品质量，所投设备提供三年质保。</w:t>
            </w:r>
          </w:p>
          <w:p>
            <w:pPr>
              <w:widowControl/>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键鼠套装</w:t>
            </w:r>
            <w:r>
              <w:rPr>
                <w:rFonts w:hint="eastAsia" w:ascii="宋体" w:hAnsi="宋体" w:eastAsia="宋体" w:cs="宋体"/>
                <w:sz w:val="24"/>
                <w:szCs w:val="24"/>
                <w:lang w:eastAsia="zh-CN"/>
              </w:rPr>
              <w:t>：</w:t>
            </w:r>
          </w:p>
          <w:p>
            <w:pPr>
              <w:widowControl/>
              <w:spacing w:line="400" w:lineRule="exact"/>
              <w:jc w:val="left"/>
              <w:rPr>
                <w:rFonts w:hint="eastAsia" w:ascii="宋体" w:hAnsi="宋体" w:eastAsia="微软雅黑" w:cs="宋体"/>
                <w:kern w:val="0"/>
                <w:szCs w:val="21"/>
                <w:lang w:val="en-US" w:eastAsia="zh-CN"/>
              </w:rPr>
            </w:pPr>
            <w:r>
              <w:rPr>
                <w:rFonts w:hint="eastAsia" w:ascii="宋体" w:hAnsi="宋体" w:eastAsia="宋体" w:cs="宋体"/>
                <w:kern w:val="0"/>
                <w:sz w:val="24"/>
                <w:szCs w:val="24"/>
              </w:rPr>
              <w:t>云桌面有线键鼠套装，内含有线键盘、鼠标、带有品牌logo的鼠标垫</w:t>
            </w:r>
            <w:r>
              <w:rPr>
                <w:rFonts w:hint="eastAsia" w:ascii="宋体" w:hAnsi="宋体" w:eastAsia="宋体" w:cs="宋体"/>
                <w:kern w:val="0"/>
                <w:sz w:val="24"/>
                <w:szCs w:val="24"/>
                <w:lang w:eastAsia="zh-CN"/>
              </w:rPr>
              <w:t>。</w:t>
            </w:r>
          </w:p>
        </w:tc>
        <w:tc>
          <w:tcPr>
            <w:tcW w:w="105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2" w:hRule="atLeast"/>
        </w:trPr>
        <w:tc>
          <w:tcPr>
            <w:tcW w:w="894"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2</w:t>
            </w:r>
          </w:p>
        </w:tc>
        <w:tc>
          <w:tcPr>
            <w:tcW w:w="166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笔记本电脑</w:t>
            </w:r>
          </w:p>
        </w:tc>
        <w:tc>
          <w:tcPr>
            <w:tcW w:w="6154" w:type="dxa"/>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操作系统：Windows11 64位 家庭中文版</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CPU型号：第13代智能英特尔® 酷睿™ i5-13500H 处理器</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CPU核数：12核</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运行内存：32GB</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存储容量：1TB</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硬盘类型：SSD</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硬盘接口类型：M.2 2280</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电池类型：锂聚合物</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电池容量：84Wh(额定容量)</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扬声器：2个</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麦克风：2个</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电源适配器：0W USB-C电源适配器</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在线升级：支持采用微软Windows Update升级方案进行在线升级；</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触控板：支持多点触控</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音频接口：3.5mm耳机、麦克风二合一接口 x 1， 可支持OMTP (国标) 、CTIA (美标)</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USB-A接口：USB 3.2 Gen1接口 x 2</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USB-C接口：雷电4接口 x 1；USB 3.2 Gen1接口 x 1</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机身尺寸：351mm × 254.9mm × 17.8mm</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sz w:val="24"/>
                <w:szCs w:val="24"/>
                <w:lang w:val="en-US" w:eastAsia="zh-CN"/>
              </w:rPr>
              <w:t>机身重量：约1.99kg（含电池）</w:t>
            </w:r>
          </w:p>
        </w:tc>
        <w:tc>
          <w:tcPr>
            <w:tcW w:w="105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894"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3</w:t>
            </w:r>
          </w:p>
        </w:tc>
        <w:tc>
          <w:tcPr>
            <w:tcW w:w="166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扫描仪</w:t>
            </w:r>
          </w:p>
        </w:tc>
        <w:tc>
          <w:tcPr>
            <w:tcW w:w="6154" w:type="dxa"/>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质保：3年</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扫描幅面：A4</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光学分辨率：600dpi</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接口类型：USB3.0 (Super-Speed)</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速度：300dpi  35ppm/70ipm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最大扫描幅面：215.9*6096mm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最小扫描幅面：50.8*50.8mm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支持纸张厚度范围：27-413/㎡</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ADF容量：100页</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按键：4.3英寸彩色触摸屏</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网络连接：WIFI</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电源开关：有</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重量：不超过3.7KG</w:t>
            </w:r>
          </w:p>
          <w:p>
            <w:pPr>
              <w:jc w:val="left"/>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sz w:val="24"/>
                <w:szCs w:val="24"/>
                <w:lang w:val="en-US" w:eastAsia="zh-CN"/>
              </w:rPr>
              <w:t>功能：可自动双面扫描，生成高压缩，加密，可搜索的PDF PDF/A，自动文档尺寸检测，浮雕卡扫描，跳过空白页，彩色/灰度/黑白自动区分，矫正文本外泄/纸张保护，加长纸扫描，支持扫至U盘</w:t>
            </w:r>
          </w:p>
        </w:tc>
        <w:tc>
          <w:tcPr>
            <w:tcW w:w="105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94"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4</w:t>
            </w:r>
          </w:p>
        </w:tc>
        <w:tc>
          <w:tcPr>
            <w:tcW w:w="166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移动硬盘</w:t>
            </w:r>
          </w:p>
        </w:tc>
        <w:tc>
          <w:tcPr>
            <w:tcW w:w="6154"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容量：1TB</w:t>
            </w: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类型：便携式存储</w:t>
            </w: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接口：USB3.0</w:t>
            </w: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3年质保</w:t>
            </w: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重量：不超过150g</w:t>
            </w: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尺寸:2.5英寸</w:t>
            </w:r>
          </w:p>
        </w:tc>
        <w:tc>
          <w:tcPr>
            <w:tcW w:w="105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、交货时间：合同签订生效后，按需求量，按时、按要求送货至指定地点并负责卸货安装。不接受物流或者快递送货，发物流或者快递的需供应商自己来接货，送货到指定地点并负责卸货安装。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货物验收合格后，成交人按执行金额开具有效等额发票交采购人，采购人通过转账方式支付货款给成交人。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36DD3"/>
    <w:multiLevelType w:val="singleLevel"/>
    <w:tmpl w:val="DDE36DD3"/>
    <w:lvl w:ilvl="0" w:tentative="0">
      <w:start w:val="1"/>
      <w:numFmt w:val="decimal"/>
      <w:lvlText w:val="%1."/>
      <w:lvlJc w:val="left"/>
      <w:pPr>
        <w:ind w:left="425" w:hanging="425"/>
      </w:pPr>
      <w:rPr>
        <w:rFonts w:hint="default"/>
      </w:rPr>
    </w:lvl>
  </w:abstractNum>
  <w:abstractNum w:abstractNumId="1">
    <w:nsid w:val="30947BFC"/>
    <w:multiLevelType w:val="singleLevel"/>
    <w:tmpl w:val="30947BFC"/>
    <w:lvl w:ilvl="0" w:tentative="0">
      <w:start w:val="1"/>
      <w:numFmt w:val="decimal"/>
      <w:lvlText w:val="%1."/>
      <w:lvlJc w:val="left"/>
      <w:pPr>
        <w:ind w:left="425" w:hanging="425"/>
      </w:pPr>
      <w:rPr>
        <w:rFonts w:hint="default"/>
      </w:rPr>
    </w:lvl>
  </w:abstractNum>
  <w:abstractNum w:abstractNumId="2">
    <w:nsid w:val="52B1F02A"/>
    <w:multiLevelType w:val="singleLevel"/>
    <w:tmpl w:val="52B1F02A"/>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215D551A"/>
    <w:rsid w:val="24716F9E"/>
    <w:rsid w:val="2981493E"/>
    <w:rsid w:val="2D1629BF"/>
    <w:rsid w:val="31410A28"/>
    <w:rsid w:val="382B4C66"/>
    <w:rsid w:val="41E2162B"/>
    <w:rsid w:val="4F737399"/>
    <w:rsid w:val="51445BB7"/>
    <w:rsid w:val="51AD58EC"/>
    <w:rsid w:val="548017AA"/>
    <w:rsid w:val="63BB7DD5"/>
    <w:rsid w:val="6A046E6E"/>
    <w:rsid w:val="75D141D1"/>
    <w:rsid w:val="7692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6040</cp:lastModifiedBy>
  <dcterms:modified xsi:type="dcterms:W3CDTF">2024-02-29T01:53:43Z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