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北海市妇幼保健院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其他重点部位增加一键报警器的采购需求</w:t>
      </w:r>
    </w:p>
    <w:p>
      <w:pPr>
        <w:ind w:firstLine="480"/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宋体" w:cs="宋体"/>
          <w:b/>
          <w:sz w:val="32"/>
          <w:szCs w:val="32"/>
        </w:rPr>
        <w:t>采购需求: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作为人员密集型开放场所，安全防范防系统是医院保障人民群众和医护人员生命、财产安全一项重要的防护措施，是医院信息化建设的重要组成部分，现妇幼保健院已经投入使用，有些重点区域还需要增加一键报警系统。分别安装在门诊分诊台、财务窗口、病区护士站等。发生突发事件时，医务人员触发一键报警，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中控室</w:t>
      </w:r>
      <w:r>
        <w:rPr>
          <w:rFonts w:hint="eastAsia" w:ascii="仿宋_GB2312" w:hAnsi="仿宋_GB2312" w:eastAsia="仿宋_GB2312" w:cs="仿宋_GB2312"/>
          <w:sz w:val="32"/>
          <w:szCs w:val="32"/>
        </w:rPr>
        <w:t>的综合安防管理平台会即时通过语音和视频信息提示位置，指导安保人员迅速到位并进行有效处置。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2" w:leftChars="0"/>
        <w:textAlignment w:val="auto"/>
        <w:rPr>
          <w:rFonts w:eastAsia="宋体" w:cs="宋体"/>
          <w:sz w:val="32"/>
          <w:szCs w:val="32"/>
        </w:rPr>
      </w:pPr>
      <w:r>
        <w:rPr>
          <w:rFonts w:hint="eastAsia" w:eastAsia="宋体" w:cs="宋体"/>
          <w:b/>
          <w:sz w:val="32"/>
          <w:szCs w:val="32"/>
        </w:rPr>
        <w:t>安装地点：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北海市西南大道239号（北海市妇幼保健院警务室、门卫室、收款处（含住院共3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个地点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）、门诊楼护士站（东西2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个地点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）、放射科登记处、新生儿科护士站等）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2" w:leftChars="0"/>
        <w:textAlignment w:val="auto"/>
        <w:rPr>
          <w:rFonts w:eastAsia="宋体" w:cs="宋体"/>
          <w:sz w:val="32"/>
          <w:szCs w:val="32"/>
        </w:rPr>
      </w:pPr>
      <w:r>
        <w:rPr>
          <w:rFonts w:hint="eastAsia" w:eastAsia="宋体" w:cs="宋体"/>
          <w:b/>
          <w:sz w:val="32"/>
          <w:szCs w:val="32"/>
        </w:rPr>
        <w:t>完成时间：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天内安装完毕。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宋体" w:cs="宋体"/>
          <w:b/>
          <w:sz w:val="32"/>
          <w:szCs w:val="32"/>
        </w:rPr>
        <w:t>预算控制价为人民币：</w:t>
      </w:r>
      <w:r>
        <w:rPr>
          <w:rFonts w:hint="eastAsia" w:ascii="仿宋_GB2312" w:hAnsi="仿宋_GB2312" w:eastAsia="仿宋_GB2312" w:cs="仿宋_GB2312"/>
          <w:sz w:val="32"/>
          <w:szCs w:val="32"/>
        </w:rPr>
        <w:t>26227.92元。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42" w:leftChars="0"/>
        <w:textAlignment w:val="auto"/>
        <w:rPr>
          <w:rFonts w:eastAsia="宋体" w:cs="宋体"/>
          <w:b/>
          <w:sz w:val="32"/>
          <w:szCs w:val="32"/>
        </w:rPr>
      </w:pPr>
      <w:r>
        <w:rPr>
          <w:rFonts w:hint="eastAsia" w:eastAsia="宋体" w:cs="宋体"/>
          <w:b/>
          <w:sz w:val="32"/>
          <w:szCs w:val="32"/>
        </w:rPr>
        <w:t>采购范围及质量要求:</w:t>
      </w:r>
    </w:p>
    <w:tbl>
      <w:tblPr>
        <w:tblStyle w:val="8"/>
        <w:tblW w:w="0" w:type="auto"/>
        <w:tblCellSpacing w:w="11" w:type="dxa"/>
        <w:tblInd w:w="1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206"/>
        <w:gridCol w:w="1948"/>
        <w:gridCol w:w="2255"/>
        <w:gridCol w:w="664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30" w:type="dxa"/>
          <w:trHeight w:val="458" w:hRule="atLeast"/>
          <w:tblCellSpacing w:w="11" w:type="dxa"/>
        </w:trPr>
        <w:tc>
          <w:tcPr>
            <w:tcW w:w="5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子系统名称：一键报警系统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技术参数、性能配置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室外IP视频+语音对讲终端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ASA-530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1.全金属外壳、防风防雨、坚固耐用、易于识别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2.多键面板，可通过软件指定呼叫目标，双向对讲广播喊话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3.公共广播功能，可定时打铃、分组、全局播放背景音乐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4.内置扬声器，可免提通话和广播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5.720P高清可视摄像头，在可视对讲同时可实现24小时监控使用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6.内置SD卡存储，设备空闲时额播放背景音乐，可通过外部报警出发播放报警声音，对讲时自动中断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7.带有远程输出输入功能，可远程控制门禁、灯光等外设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8.以太网传输可实现跨路由，跨网段传输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9.带音频输出接口，可外接有源音箱和耳机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24口千兆交换机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RG-NBS5710-24GT4SFP-E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三层交换机，交换容量396Gbps，包转发率51Mpps；24个10/100/1000M自适应电口,4个SFP光口；支持RIP，OSPF等路由协议；支持DHCP server；支持虚拟化；支持MACC云平台统一管理。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8口千兆交换机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RG-ES110GDS V2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8个10/100/1000Mbps自适应电口+2个10/100/1000Mbps上联光口，交换机容量20Gbps，包转发率14.88Mpps，非网管型交换机，桌面式，可上机架。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千兆光模块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SFP-GE-LX-SM1310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1000BASE-LX mini GBIC转换模块（1310nm）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双芯单模光纤跳线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DTT-DOW-SC/LC-B1.3-3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SC-LC(3米) 双芯单模,陶瓷插芯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适配器电源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DC12V2A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DC12V2A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适配器电源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DC12V10A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DC12V10A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86X86信息底盒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86*86mm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标准86*86,PVC盒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电源线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RVV2*1.0mm2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RVV2*1.0mm2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超五类非屏蔽双绞线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 xml:space="preserve">HSYV-5e 4*2*0.5 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国标，超五类非屏蔽双绞线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650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超五类室外非屏蔽双绞线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HSYVY-5e 4*2*0.5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超五类室外非屏蔽双绞线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140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PVC管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DN25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DN25,含接头。含室内、外线管材。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四分pvc线槽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20mm*10mm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pvc线槽明装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CellSpacing w:w="11" w:type="dxa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辅材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国产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</w:rPr>
              <w:t>施工工具、钢钉、软管、线卡、水晶头等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6"/>
                <w:szCs w:val="16"/>
              </w:rPr>
              <w:t>批</w:t>
            </w:r>
          </w:p>
        </w:tc>
      </w:tr>
    </w:tbl>
    <w:p>
      <w:pPr>
        <w:pStyle w:val="3"/>
        <w:numPr>
          <w:ilvl w:val="0"/>
          <w:numId w:val="0"/>
        </w:numPr>
        <w:rPr>
          <w:rFonts w:ascii="宋体" w:hAnsi="宋体" w:eastAsia="宋体" w:cs="宋体"/>
          <w:szCs w:val="21"/>
        </w:rPr>
      </w:pPr>
    </w:p>
    <w:p>
      <w:pPr>
        <w:pStyle w:val="3"/>
        <w:numPr>
          <w:ilvl w:val="0"/>
          <w:numId w:val="0"/>
        </w:numPr>
        <w:ind w:firstLine="7200" w:firstLineChars="30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北海市妇幼保健院</w:t>
      </w:r>
    </w:p>
    <w:p>
      <w:pPr>
        <w:pStyle w:val="3"/>
        <w:numPr>
          <w:ilvl w:val="0"/>
          <w:numId w:val="0"/>
        </w:numPr>
        <w:ind w:firstLine="7440" w:firstLineChars="31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2024年6月6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EDD72"/>
    <w:multiLevelType w:val="singleLevel"/>
    <w:tmpl w:val="858EDD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BlZDhiNjE0NDZmMTg1NDgxOTgyOTYyYWMxMThjY2UifQ=="/>
  </w:docVars>
  <w:rsids>
    <w:rsidRoot w:val="00EE5209"/>
    <w:rsid w:val="000B7816"/>
    <w:rsid w:val="00204397"/>
    <w:rsid w:val="002831CB"/>
    <w:rsid w:val="002E0817"/>
    <w:rsid w:val="003A6399"/>
    <w:rsid w:val="00425F25"/>
    <w:rsid w:val="0048607F"/>
    <w:rsid w:val="004A6C75"/>
    <w:rsid w:val="005C12C6"/>
    <w:rsid w:val="006B1FB4"/>
    <w:rsid w:val="00756A16"/>
    <w:rsid w:val="00B155EF"/>
    <w:rsid w:val="00BC1E53"/>
    <w:rsid w:val="00DD36D0"/>
    <w:rsid w:val="00EE5209"/>
    <w:rsid w:val="00FF7970"/>
    <w:rsid w:val="02EC6D93"/>
    <w:rsid w:val="0E9C31B1"/>
    <w:rsid w:val="294412CE"/>
    <w:rsid w:val="394D47DC"/>
    <w:rsid w:val="43EE583A"/>
    <w:rsid w:val="4EEB27EA"/>
    <w:rsid w:val="4F147B4F"/>
    <w:rsid w:val="53297640"/>
    <w:rsid w:val="578F27D5"/>
    <w:rsid w:val="629F092B"/>
    <w:rsid w:val="74912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100" w:firstLineChars="100"/>
    </w:pPr>
    <w:rPr>
      <w:sz w:val="21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customStyle="1" w:styleId="10">
    <w:name w:val="批注框文本 Char"/>
    <w:basedOn w:val="9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FA89-E6B5-41A6-80C0-1BCC7D9B7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1009</Words>
  <Characters>1348</Characters>
  <Lines>10</Lines>
  <Paragraphs>2</Paragraphs>
  <TotalTime>0</TotalTime>
  <ScaleCrop>false</ScaleCrop>
  <LinksUpToDate>false</LinksUpToDate>
  <CharactersWithSpaces>1356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2023-12-26T00:04:00Z</dcterms:created>
  <dc:creator>Administrator.User-2023MDCBCN</dc:creator>
  <cp:lastModifiedBy>欧海燕</cp:lastModifiedBy>
  <dcterms:modified xsi:type="dcterms:W3CDTF">2024-06-06T11:17:40Z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8CF740EFA5A6465F9FF75211EF639389_12</vt:lpwstr>
  </property>
</Properties>
</file>