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地架项目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4309"/>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4309"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289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地架</w:t>
            </w:r>
          </w:p>
        </w:tc>
        <w:tc>
          <w:tcPr>
            <w:tcW w:w="4309" w:type="dxa"/>
            <w:vAlign w:val="center"/>
          </w:tcPr>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颜色：灰色</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材质：冷轧钢+塑胶脚垫，冷轧钢板材2mm厚，地架表面为一块无拼接平板</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尺寸：1000mm*600mm*150mm</w:t>
            </w:r>
          </w:p>
        </w:tc>
        <w:tc>
          <w:tcPr>
            <w:tcW w:w="2895"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default" w:ascii="宋体" w:hAnsi="宋体" w:eastAsia="宋体" w:cs="宋体"/>
                <w:b w:val="0"/>
                <w:color w:val="auto"/>
                <w:kern w:val="2"/>
                <w:sz w:val="24"/>
                <w:szCs w:val="24"/>
                <w:vertAlign w:val="baseline"/>
                <w:lang w:val="en-US" w:eastAsia="zh-CN" w:bidi="ar"/>
              </w:rPr>
              <w:drawing>
                <wp:inline distT="0" distB="0" distL="114300" distR="114300">
                  <wp:extent cx="1695450" cy="825500"/>
                  <wp:effectExtent l="0" t="0" r="0" b="12700"/>
                  <wp:docPr id="1" name="图片 1" descr="1721810857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810857286"/>
                          <pic:cNvPicPr>
                            <a:picLocks noChangeAspect="1"/>
                          </pic:cNvPicPr>
                        </pic:nvPicPr>
                        <pic:blipFill>
                          <a:blip r:embed="rId4"/>
                          <a:stretch>
                            <a:fillRect/>
                          </a:stretch>
                        </pic:blipFill>
                        <pic:spPr>
                          <a:xfrm>
                            <a:off x="0" y="0"/>
                            <a:ext cx="1695450" cy="825500"/>
                          </a:xfrm>
                          <a:prstGeom prst="rect">
                            <a:avLst/>
                          </a:prstGeom>
                        </pic:spPr>
                      </pic:pic>
                    </a:graphicData>
                  </a:graphic>
                </wp:inline>
              </w:drawing>
            </w: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r>
              <w:rPr>
                <w:rFonts w:hint="default" w:ascii="宋体" w:hAnsi="宋体" w:eastAsia="宋体" w:cs="宋体"/>
                <w:b w:val="0"/>
                <w:color w:val="auto"/>
                <w:kern w:val="2"/>
                <w:sz w:val="24"/>
                <w:szCs w:val="24"/>
                <w:vertAlign w:val="baseline"/>
                <w:lang w:val="en-US" w:eastAsia="zh-CN" w:bidi="ar"/>
              </w:rPr>
              <w:drawing>
                <wp:inline distT="0" distB="0" distL="114300" distR="114300">
                  <wp:extent cx="1693545" cy="713740"/>
                  <wp:effectExtent l="0" t="0" r="1905" b="10160"/>
                  <wp:docPr id="2" name="图片 2" descr="172181091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1810915637"/>
                          <pic:cNvPicPr>
                            <a:picLocks noChangeAspect="1"/>
                          </pic:cNvPicPr>
                        </pic:nvPicPr>
                        <pic:blipFill>
                          <a:blip r:embed="rId5"/>
                          <a:stretch>
                            <a:fillRect/>
                          </a:stretch>
                        </pic:blipFill>
                        <pic:spPr>
                          <a:xfrm>
                            <a:off x="0" y="0"/>
                            <a:ext cx="1693545" cy="713740"/>
                          </a:xfrm>
                          <a:prstGeom prst="rect">
                            <a:avLst/>
                          </a:prstGeom>
                        </pic:spPr>
                      </pic:pic>
                    </a:graphicData>
                  </a:graphic>
                </wp:inline>
              </w:drawing>
            </w: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、交货时间：合同签订生效后，按需求量，按时、按要求送货至指定地点并负责卸货安装。不接受物流或者快递送货，发物流或者快递的需供应商自己来接货，送货到指定地点并负责卸货安装。</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w:t>
            </w:r>
            <w:bookmarkStart w:id="0" w:name="_GoBack"/>
            <w:bookmarkEnd w:id="0"/>
            <w:r>
              <w:rPr>
                <w:rFonts w:hint="eastAsia" w:ascii="宋体" w:hAnsi="宋体" w:eastAsia="宋体" w:cs="宋体"/>
                <w:b w:val="0"/>
                <w:color w:val="auto"/>
                <w:kern w:val="2"/>
                <w:sz w:val="21"/>
                <w:szCs w:val="21"/>
                <w:lang w:val="en-US" w:eastAsia="zh-CN" w:bidi="ar"/>
              </w:rPr>
              <w:t>货物验收合格后，成交人按执行金额开具有效等额发票交采购人，采购人按照财务审批流程确认无误后支付该批货物全部合同款给成交人。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1E2162B"/>
    <w:rsid w:val="485A67E9"/>
    <w:rsid w:val="4D74169B"/>
    <w:rsid w:val="4D8B7E4D"/>
    <w:rsid w:val="4F007AE2"/>
    <w:rsid w:val="4F737399"/>
    <w:rsid w:val="51445BB7"/>
    <w:rsid w:val="51AD58EC"/>
    <w:rsid w:val="548017AA"/>
    <w:rsid w:val="5B29077D"/>
    <w:rsid w:val="5E901257"/>
    <w:rsid w:val="63BB7DD5"/>
    <w:rsid w:val="6A046E6E"/>
    <w:rsid w:val="75D141D1"/>
    <w:rsid w:val="76920E3E"/>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2024-07-25T10:11:46Z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