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传染病前置软件CA证书</w:t>
      </w:r>
      <w:r>
        <w:rPr>
          <w:rFonts w:hint="eastAsia" w:ascii="宋体" w:hAnsi="宋体" w:eastAsia="宋体" w:cs="宋体"/>
          <w:color w:val="auto"/>
          <w:sz w:val="32"/>
          <w:szCs w:val="32"/>
        </w:rPr>
        <w:t>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tbl>
      <w:tblPr>
        <w:tblStyle w:val="6"/>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665"/>
        <w:gridCol w:w="6154"/>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gridSpan w:val="4"/>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8"/>
                <w:szCs w:val="28"/>
                <w:vertAlign w:val="baseline"/>
                <w:lang w:val="en-US" w:eastAsia="zh-CN" w:bidi="ar"/>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166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p>
        </w:tc>
        <w:tc>
          <w:tcPr>
            <w:tcW w:w="615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项目要求及技术需求</w:t>
            </w:r>
          </w:p>
        </w:tc>
        <w:tc>
          <w:tcPr>
            <w:tcW w:w="1367"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894"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firstLine="240" w:firstLineChars="10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w:t>
            </w:r>
          </w:p>
        </w:tc>
        <w:tc>
          <w:tcPr>
            <w:tcW w:w="1665"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1"/>
                <w:szCs w:val="21"/>
                <w:highlight w:val="none"/>
                <w:vertAlign w:val="baseline"/>
                <w:lang w:val="en-US" w:eastAsia="zh-CN" w:bidi="ar"/>
              </w:rPr>
            </w:pPr>
            <w:r>
              <w:rPr>
                <w:rFonts w:hint="eastAsia" w:ascii="宋体" w:hAnsi="宋体" w:eastAsia="宋体" w:cs="宋体"/>
                <w:b w:val="0"/>
                <w:color w:val="auto"/>
                <w:kern w:val="2"/>
                <w:sz w:val="21"/>
                <w:szCs w:val="21"/>
                <w:highlight w:val="none"/>
                <w:vertAlign w:val="baseline"/>
                <w:lang w:val="en-US" w:eastAsia="zh-CN" w:bidi="ar"/>
              </w:rPr>
              <w:t>传染病前置软件CA证书</w:t>
            </w:r>
          </w:p>
        </w:tc>
        <w:tc>
          <w:tcPr>
            <w:tcW w:w="6154" w:type="dxa"/>
          </w:tcPr>
          <w:p>
            <w:pPr>
              <w:bidi w:val="0"/>
              <w:rPr>
                <w:rFonts w:hint="default" w:ascii="宋体" w:hAnsi="宋体" w:eastAsia="宋体" w:cs="宋体"/>
                <w:sz w:val="21"/>
                <w:szCs w:val="21"/>
                <w:lang w:val="en-US" w:eastAsia="zh-CN"/>
              </w:rPr>
            </w:pPr>
          </w:p>
          <w:p>
            <w:pPr>
              <w:bidi w:val="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一、背景</w:t>
            </w:r>
          </w:p>
          <w:p>
            <w:pPr>
              <w:bidi w:val="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根据《国家疾控局综合司关于做好国家传染病智能监测预警前置软件服务器软硬件环境配置的通知》（国疾控综规财函(2024〔71〕号）和广西壮族自治区卫生健康委员会、广西壮族自治区疾病预防控制局、广西壮族自治区中医药管理局联合印发《关于做好国家传染病智能监测预警前置软件服务器软硬件环境配置的通知》要求。保障前置软件安全运行和数据存储安全,需配备数字证书用于标识医疗机构的网上身份，以保障存储、传输的完整性、加密性和不可否认性，与现有传染病网络直报系统采用的CA证书兼容互认。</w:t>
            </w:r>
          </w:p>
          <w:p>
            <w:pPr>
              <w:bidi w:val="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二、需求内容</w:t>
            </w:r>
          </w:p>
          <w:p>
            <w:pPr>
              <w:bidi w:val="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1.兼容性要求：所采购的CA证书必须与国家现有传染病网络直报系统采用的CA证书兼容互认。</w:t>
            </w:r>
          </w:p>
          <w:p>
            <w:pPr>
              <w:bidi w:val="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2.适配性要求：所采购的CA证书需与北海市妇幼保健院已部署的国家传染病智能监测预警前置软件服务器软硬件环境（欧拉操作系统）适配，确保稳定运行。</w:t>
            </w:r>
          </w:p>
          <w:p>
            <w:pPr>
              <w:bidi w:val="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3.安全性要求：所采购的CA证书满足保障前置软件安全运行和数据存储安全,用于标识医疗机构的网上身份，以保障存储、传输的完整性、加密性和不可否认性的要求。</w:t>
            </w:r>
          </w:p>
          <w:p>
            <w:pPr>
              <w:bidi w:val="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4.合规性要求：所采购的CA证书及其发行机构需符合国家关于信息安全、电子认证服务的相关法律法规和标准要求，确保合法性和有效性。</w:t>
            </w:r>
          </w:p>
          <w:p>
            <w:pPr>
              <w:bidi w:val="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5.更新维护要求：供应商需提供CA证书的定期更新服务，以及必要的操作培训和技术指导。</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三、CA</w:t>
            </w:r>
            <w:r>
              <w:rPr>
                <w:rFonts w:hint="eastAsia" w:ascii="宋体" w:hAnsi="宋体" w:eastAsia="宋体" w:cs="宋体"/>
                <w:sz w:val="21"/>
                <w:szCs w:val="21"/>
                <w:lang w:val="en-US" w:eastAsia="zh-CN"/>
              </w:rPr>
              <w:t>证书服务</w:t>
            </w:r>
            <w:bookmarkStart w:id="0" w:name="_GoBack"/>
            <w:bookmarkEnd w:id="0"/>
            <w:r>
              <w:rPr>
                <w:rFonts w:hint="eastAsia" w:ascii="宋体" w:hAnsi="宋体" w:eastAsia="宋体" w:cs="宋体"/>
                <w:sz w:val="21"/>
                <w:szCs w:val="21"/>
                <w:lang w:val="en-US" w:eastAsia="zh-CN"/>
              </w:rPr>
              <w:t>有效期5年，</w:t>
            </w:r>
            <w:r>
              <w:rPr>
                <w:rFonts w:hint="default" w:ascii="宋体" w:hAnsi="宋体" w:eastAsia="宋体" w:cs="宋体"/>
                <w:sz w:val="21"/>
                <w:szCs w:val="21"/>
                <w:lang w:val="en-US" w:eastAsia="zh-CN"/>
              </w:rPr>
              <w:t>含 USB Key 介质一个</w:t>
            </w:r>
            <w:r>
              <w:rPr>
                <w:rFonts w:hint="eastAsia" w:ascii="宋体" w:hAnsi="宋体" w:eastAsia="宋体" w:cs="宋体"/>
                <w:sz w:val="21"/>
                <w:szCs w:val="21"/>
                <w:lang w:val="en-US" w:eastAsia="zh-CN"/>
              </w:rPr>
              <w:t>。</w:t>
            </w:r>
          </w:p>
        </w:tc>
        <w:tc>
          <w:tcPr>
            <w:tcW w:w="1367"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1"/>
                <w:szCs w:val="21"/>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1"/>
                <w:szCs w:val="21"/>
                <w:vertAlign w:val="baseline"/>
                <w:lang w:val="en-US" w:eastAsia="zh-CN" w:bidi="ar"/>
              </w:rPr>
            </w:pPr>
            <w:r>
              <w:rPr>
                <w:rFonts w:hint="eastAsia" w:ascii="宋体" w:hAnsi="宋体" w:eastAsia="宋体" w:cs="宋体"/>
                <w:b w:val="0"/>
                <w:color w:val="auto"/>
                <w:kern w:val="2"/>
                <w:sz w:val="21"/>
                <w:szCs w:val="21"/>
                <w:vertAlign w:val="baseline"/>
                <w:lang w:val="en-US" w:eastAsia="zh-CN" w:bidi="ar"/>
              </w:rPr>
              <w:t>3000元</w:t>
            </w:r>
          </w:p>
        </w:tc>
      </w:tr>
    </w:tbl>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8"/>
          <w:szCs w:val="28"/>
          <w:lang w:val="en-US" w:eastAsia="zh-CN" w:bidi="ar"/>
        </w:rPr>
      </w:pPr>
    </w:p>
    <w:p>
      <w:pPr>
        <w:pStyle w:val="10"/>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5"/>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售后服务要求</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1、产品报价包括货物的所有费用，包括采购、运输、劳务、管理、利润、税金、保险、协调、培训、售后服务、配送产品、安装以及所有的不定因素的风险等；</w:t>
            </w:r>
          </w:p>
          <w:p>
            <w:pPr>
              <w:keepNext w:val="0"/>
              <w:keepLines w:val="0"/>
              <w:widowControl w:val="0"/>
              <w:suppressLineNumbers w:val="0"/>
              <w:spacing w:before="0" w:beforeAutospacing="0" w:after="0" w:afterAutospacing="0" w:line="360" w:lineRule="auto"/>
              <w:ind w:left="0" w:right="0"/>
              <w:jc w:val="left"/>
              <w:rPr>
                <w:rFonts w:hint="eastAsia" w:eastAsia="宋体"/>
                <w:lang w:val="en-US" w:eastAsia="zh-CN"/>
              </w:rPr>
            </w:pPr>
            <w:r>
              <w:rPr>
                <w:rFonts w:hint="eastAsia" w:ascii="宋体" w:hAnsi="宋体" w:eastAsia="宋体" w:cs="宋体"/>
                <w:b w:val="0"/>
                <w:color w:val="auto"/>
                <w:kern w:val="2"/>
                <w:sz w:val="21"/>
                <w:szCs w:val="21"/>
                <w:lang w:val="en-US" w:eastAsia="zh-CN" w:bidi="ar"/>
              </w:rPr>
              <w:t>2、如确定有质量问题，按照正常程序退换货。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交货时间及地点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、交货时间：合同签订生效后，按需求量，按时、按要求送货至指定地点。不接受物流或者快递送货，发物流或者快递的需供应商自己来接货，送货到指定地点。</w:t>
            </w:r>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bCs w:val="0"/>
                <w:color w:val="auto"/>
                <w:sz w:val="21"/>
                <w:szCs w:val="21"/>
              </w:rPr>
            </w:pPr>
            <w:r>
              <w:rPr>
                <w:rFonts w:hint="eastAsia" w:ascii="宋体" w:hAnsi="宋体" w:eastAsia="宋体" w:cs="宋体"/>
                <w:b w:val="0"/>
                <w:color w:val="auto"/>
                <w:kern w:val="2"/>
                <w:sz w:val="21"/>
                <w:szCs w:val="21"/>
                <w:lang w:val="en-US" w:eastAsia="zh-CN" w:bidi="ar"/>
              </w:rPr>
              <w:t>货物验收合格后，成交人按执行金额开具有效等额发票交采购人，采购人60日内通过转账方式支付货款给成交人。</w:t>
            </w:r>
          </w:p>
        </w:tc>
      </w:tr>
    </w:tbl>
    <w:p>
      <w:pPr>
        <w:rPr>
          <w:rFonts w:hint="eastAsia" w:ascii="宋体" w:hAnsi="宋体" w:eastAsia="宋体" w:cs="宋体"/>
          <w:color w:val="auto"/>
          <w:sz w:val="32"/>
          <w:szCs w:val="32"/>
          <w:lang w:eastAsia="zh-CN"/>
        </w:rPr>
      </w:pPr>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7A03680"/>
    <w:rsid w:val="0A8B1444"/>
    <w:rsid w:val="0FD04BCA"/>
    <w:rsid w:val="108E7745"/>
    <w:rsid w:val="1CD10EAC"/>
    <w:rsid w:val="1E5B4390"/>
    <w:rsid w:val="215D551A"/>
    <w:rsid w:val="22104E37"/>
    <w:rsid w:val="24716F9E"/>
    <w:rsid w:val="2981493E"/>
    <w:rsid w:val="2D1629BF"/>
    <w:rsid w:val="31410A28"/>
    <w:rsid w:val="32EB498D"/>
    <w:rsid w:val="382B4C66"/>
    <w:rsid w:val="4027414D"/>
    <w:rsid w:val="41E2162B"/>
    <w:rsid w:val="485A67E9"/>
    <w:rsid w:val="4D74169B"/>
    <w:rsid w:val="4D8B7E4D"/>
    <w:rsid w:val="4F007AE2"/>
    <w:rsid w:val="4F737399"/>
    <w:rsid w:val="51445BB7"/>
    <w:rsid w:val="51AD58EC"/>
    <w:rsid w:val="548017AA"/>
    <w:rsid w:val="5B29077D"/>
    <w:rsid w:val="63BB7DD5"/>
    <w:rsid w:val="68BA1198"/>
    <w:rsid w:val="6A046E6E"/>
    <w:rsid w:val="6F5D2BA9"/>
    <w:rsid w:val="732C22C8"/>
    <w:rsid w:val="75D141D1"/>
    <w:rsid w:val="76920E3E"/>
    <w:rsid w:val="7811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9">
    <w:name w:val="标题 1 Char"/>
    <w:link w:val="2"/>
    <w:qFormat/>
    <w:uiPriority w:val="0"/>
    <w:rPr>
      <w:b/>
      <w:bCs/>
      <w:kern w:val="44"/>
      <w:sz w:val="44"/>
      <w:szCs w:val="44"/>
    </w:rPr>
  </w:style>
  <w:style w:type="paragraph" w:customStyle="1" w:styleId="1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欧海燕</cp:lastModifiedBy>
  <dcterms:modified xsi:type="dcterms:W3CDTF">2025-01-08T10:33:05Z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