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办公设备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高拍仪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最大幅面A4，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扫描元件CMOS，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摄像头参数：主摄像头1600万、副摄像头500万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功能：可录制视频、可多页合并PDF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760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指纹采集器</w:t>
            </w:r>
          </w:p>
        </w:tc>
        <w:tc>
          <w:tcPr>
            <w:tcW w:w="6154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《居民身份证指纹采集器通用技术要求》的嵌入式居民身份证指纹采集器。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用智能高速USB芯片，同时使用高强度光学材料，结合指纹采集模块，高精效指纹识别算法，高精密的光学成像元件，成像清晰、手指感应敏感、识别准确。能够自动读取指纹图像，标准的接口协议，可以在Windows、Windows CE、Linux、Android等操作系统。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卓越的图像质量；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支持旋转指纹；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干燥的、湿的或粗糙的指纹都可以很好地使用；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采集窗口尺寸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20*27MM，有效区域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14.4*18.5MM，图像大小：256*360，通讯接口： USB2.0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1480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货物验收合格后，成交人按执行金额开具有效等额发票交采购人，采购人60日内通过转账方式支付货款给成交人。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96BC8"/>
    <w:multiLevelType w:val="singleLevel"/>
    <w:tmpl w:val="C2896B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CD10EAC"/>
    <w:rsid w:val="1E5B4390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6F5D2BA9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2025-01-02T10:29:46Z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