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color w:val="auto"/>
          <w:sz w:val="36"/>
        </w:rPr>
      </w:pPr>
    </w:p>
    <w:p>
      <w:pPr>
        <w:pStyle w:val="8"/>
        <w:rPr>
          <w:color w:val="auto"/>
          <w:sz w:val="36"/>
        </w:rPr>
      </w:pPr>
    </w:p>
    <w:p>
      <w:pPr>
        <w:pStyle w:val="8"/>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院内比选文件</w:t>
      </w:r>
    </w:p>
    <w:p>
      <w:pPr>
        <w:pStyle w:val="8"/>
        <w:rPr>
          <w:color w:val="auto"/>
          <w:sz w:val="70"/>
        </w:rPr>
      </w:pPr>
    </w:p>
    <w:p>
      <w:pPr>
        <w:pStyle w:val="8"/>
        <w:rPr>
          <w:color w:val="auto"/>
          <w:sz w:val="94"/>
        </w:rPr>
      </w:pPr>
    </w:p>
    <w:p>
      <w:pPr>
        <w:pStyle w:val="3"/>
        <w:spacing w:before="0"/>
        <w:ind w:firstLine="720" w:firstLineChars="200"/>
        <w:jc w:val="both"/>
        <w:rPr>
          <w:rFonts w:hint="eastAsia" w:ascii="宋体" w:hAnsi="宋体" w:eastAsia="宋体" w:cs="宋体"/>
          <w:color w:val="auto"/>
          <w:sz w:val="32"/>
          <w:szCs w:val="32"/>
          <w:lang w:eastAsia="zh-CN"/>
        </w:rPr>
      </w:pPr>
      <w:r>
        <w:rPr>
          <w:color w:val="auto"/>
        </w:rPr>
        <w:t>项目名称：</w:t>
      </w:r>
      <w:r>
        <w:rPr>
          <w:rFonts w:hint="eastAsia"/>
          <w:color w:val="auto"/>
        </w:rPr>
        <w:t>北海市妇幼保健院2025-2026年安防维保服务</w:t>
      </w:r>
    </w:p>
    <w:p>
      <w:pPr>
        <w:ind w:firstLine="720" w:firstLineChars="200"/>
        <w:jc w:val="both"/>
        <w:rPr>
          <w:rFonts w:hint="eastAsia" w:ascii="宋体" w:hAnsi="宋体" w:eastAsia="宋体" w:cs="宋体"/>
          <w:color w:val="auto"/>
          <w:sz w:val="36"/>
          <w:szCs w:val="36"/>
          <w:lang w:val="en-US" w:eastAsia="zh-CN" w:bidi="ar-SA"/>
        </w:rPr>
      </w:pPr>
      <w:r>
        <w:rPr>
          <w:rFonts w:hint="eastAsia" w:ascii="宋体" w:hAnsi="宋体" w:eastAsia="宋体" w:cs="宋体"/>
          <w:color w:val="auto"/>
          <w:sz w:val="36"/>
          <w:szCs w:val="36"/>
          <w:lang w:val="en-US" w:eastAsia="zh-CN" w:bidi="ar-SA"/>
        </w:rPr>
        <w:t>项目编号：BHSFY-2025000</w:t>
      </w:r>
      <w:r>
        <w:rPr>
          <w:rFonts w:hint="eastAsia" w:cs="宋体"/>
          <w:color w:val="auto"/>
          <w:sz w:val="36"/>
          <w:szCs w:val="36"/>
          <w:lang w:val="en-US" w:eastAsia="zh-CN" w:bidi="ar-SA"/>
        </w:rPr>
        <w:t>6</w:t>
      </w:r>
    </w:p>
    <w:p>
      <w:pPr>
        <w:ind w:firstLine="720" w:firstLineChars="200"/>
        <w:jc w:val="both"/>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8"/>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8"/>
        <w:spacing w:before="3"/>
        <w:rPr>
          <w:color w:val="auto"/>
          <w:sz w:val="51"/>
          <w:highlight w:val="none"/>
        </w:rPr>
      </w:pPr>
    </w:p>
    <w:p>
      <w:pPr>
        <w:pStyle w:val="8"/>
        <w:ind w:left="541"/>
        <w:rPr>
          <w:color w:val="auto"/>
          <w:highlight w:val="none"/>
        </w:rPr>
      </w:pPr>
      <w:r>
        <w:rPr>
          <w:color w:val="auto"/>
          <w:highlight w:val="none"/>
        </w:rPr>
        <w:t>一、项目基本情况</w:t>
      </w:r>
    </w:p>
    <w:p>
      <w:pPr>
        <w:pStyle w:val="18"/>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BHSFY-2025000</w:t>
      </w:r>
      <w:r>
        <w:rPr>
          <w:rFonts w:hint="eastAsia" w:ascii="Times New Roman" w:eastAsia="宋体"/>
          <w:color w:val="auto"/>
          <w:sz w:val="24"/>
          <w:u w:val="single"/>
          <w:lang w:val="en-US" w:eastAsia="zh-CN"/>
        </w:rPr>
        <w:t>6</w:t>
      </w:r>
      <w:r>
        <w:rPr>
          <w:rFonts w:ascii="Times New Roman" w:eastAsia="Times New Roman"/>
          <w:color w:val="auto"/>
          <w:sz w:val="24"/>
          <w:u w:val="single"/>
        </w:rPr>
        <w:tab/>
      </w:r>
    </w:p>
    <w:p>
      <w:pPr>
        <w:pStyle w:val="18"/>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北海市妇幼保健院2025-2026年安防维保服务</w:t>
      </w:r>
      <w:r>
        <w:rPr>
          <w:rFonts w:hint="eastAsia" w:ascii="宋体" w:hAnsi="宋体" w:eastAsia="宋体" w:cs="宋体"/>
          <w:color w:val="auto"/>
          <w:sz w:val="24"/>
          <w:szCs w:val="24"/>
          <w:u w:val="single"/>
        </w:rPr>
        <w:tab/>
      </w:r>
    </w:p>
    <w:p>
      <w:pPr>
        <w:pStyle w:val="18"/>
        <w:numPr>
          <w:ilvl w:val="0"/>
          <w:numId w:val="1"/>
        </w:numPr>
        <w:tabs>
          <w:tab w:val="left" w:pos="1251"/>
        </w:tabs>
        <w:spacing w:before="158" w:after="0" w:line="240" w:lineRule="auto"/>
        <w:ind w:left="1250" w:right="0" w:hanging="230"/>
        <w:jc w:val="left"/>
        <w:rPr>
          <w:color w:val="auto"/>
          <w:sz w:val="24"/>
        </w:rPr>
      </w:pPr>
      <w:r>
        <w:rPr>
          <w:color w:val="auto"/>
          <w:sz w:val="24"/>
        </w:rPr>
        <w:t>采购方式：</w:t>
      </w:r>
      <w:r>
        <w:rPr>
          <w:rFonts w:hint="eastAsia"/>
          <w:color w:val="auto"/>
          <w:sz w:val="24"/>
          <w:lang w:eastAsia="zh-CN"/>
        </w:rPr>
        <w:t>院内比选</w:t>
      </w:r>
    </w:p>
    <w:p>
      <w:pPr>
        <w:pStyle w:val="18"/>
        <w:numPr>
          <w:ilvl w:val="0"/>
          <w:numId w:val="1"/>
        </w:numPr>
        <w:tabs>
          <w:tab w:val="left" w:pos="1251"/>
          <w:tab w:val="left" w:pos="3769"/>
          <w:tab w:val="left" w:pos="7849"/>
        </w:tabs>
        <w:spacing w:before="158" w:after="0" w:line="240" w:lineRule="auto"/>
        <w:ind w:left="1250" w:right="0" w:hanging="230"/>
        <w:jc w:val="left"/>
        <w:rPr>
          <w:color w:val="auto"/>
          <w:sz w:val="24"/>
        </w:rPr>
      </w:pPr>
      <w:r>
        <w:rPr>
          <w:color w:val="auto"/>
          <w:sz w:val="24"/>
          <w:highlight w:val="none"/>
        </w:rPr>
        <w:t>项目预算金额</w:t>
      </w:r>
      <w:r>
        <w:rPr>
          <w:color w:val="auto"/>
          <w:spacing w:val="-1"/>
          <w:sz w:val="24"/>
          <w:highlight w:val="none"/>
        </w:rPr>
        <w:t>：</w:t>
      </w:r>
      <w:r>
        <w:rPr>
          <w:rFonts w:ascii="Times New Roman" w:eastAsia="Times New Roman"/>
          <w:color w:val="auto"/>
          <w:sz w:val="24"/>
          <w:u w:val="single"/>
        </w:rPr>
        <w:t xml:space="preserve"> </w:t>
      </w:r>
      <w:r>
        <w:rPr>
          <w:rFonts w:hint="eastAsia" w:ascii="Times New Roman" w:eastAsia="宋体"/>
          <w:color w:val="auto"/>
          <w:sz w:val="24"/>
          <w:u w:val="single"/>
          <w:lang w:val="en-US" w:eastAsia="zh-CN"/>
        </w:rPr>
        <w:t xml:space="preserve">  </w:t>
      </w:r>
      <w:r>
        <w:rPr>
          <w:rFonts w:hint="eastAsia" w:ascii="Times New Roman"/>
          <w:color w:val="auto"/>
          <w:sz w:val="24"/>
          <w:u w:val="single"/>
          <w:lang w:val="en-US" w:eastAsia="zh-CN"/>
        </w:rPr>
        <w:t>7.8</w:t>
      </w:r>
      <w:r>
        <w:rPr>
          <w:rFonts w:hint="eastAsia" w:ascii="Times New Roman" w:eastAsia="宋体"/>
          <w:color w:val="auto"/>
          <w:sz w:val="24"/>
          <w:u w:val="single"/>
          <w:lang w:val="en-US" w:eastAsia="zh-CN"/>
        </w:rPr>
        <w:t xml:space="preserve">         </w:t>
      </w:r>
      <w:r>
        <w:rPr>
          <w:color w:val="auto"/>
          <w:sz w:val="24"/>
        </w:rPr>
        <w:t>万元、项目最高限价（如有</w:t>
      </w:r>
      <w:r>
        <w:rPr>
          <w:color w:val="auto"/>
          <w:spacing w:val="-120"/>
          <w:sz w:val="24"/>
        </w:rPr>
        <w:t>）</w:t>
      </w:r>
      <w:r>
        <w:rPr>
          <w:color w:val="auto"/>
          <w:spacing w:val="-1"/>
          <w:sz w:val="24"/>
        </w:rPr>
        <w:t>：</w:t>
      </w:r>
      <w:r>
        <w:rPr>
          <w:rFonts w:hint="eastAsia"/>
          <w:color w:val="auto"/>
          <w:spacing w:val="-1"/>
          <w:sz w:val="24"/>
          <w:u w:val="single"/>
          <w:lang w:val="en-US" w:eastAsia="zh-CN"/>
        </w:rPr>
        <w:t xml:space="preserve"> </w:t>
      </w:r>
      <w:r>
        <w:rPr>
          <w:rFonts w:hint="eastAsia" w:asciiTheme="minorEastAsia" w:hAnsiTheme="minorEastAsia" w:eastAsiaTheme="minorEastAsia" w:cstheme="minorEastAsia"/>
          <w:color w:val="auto"/>
          <w:sz w:val="22"/>
          <w:szCs w:val="22"/>
          <w:u w:val="single"/>
          <w:lang w:val="en-US" w:eastAsia="zh-CN"/>
        </w:rPr>
        <w:t>7.8</w:t>
      </w:r>
      <w:r>
        <w:rPr>
          <w:rFonts w:hint="eastAsia"/>
          <w:color w:val="auto"/>
          <w:spacing w:val="-1"/>
          <w:sz w:val="24"/>
          <w:u w:val="single"/>
          <w:lang w:val="en-US" w:eastAsia="zh-CN"/>
        </w:rPr>
        <w:t xml:space="preserve"> </w:t>
      </w:r>
      <w:r>
        <w:rPr>
          <w:color w:val="auto"/>
          <w:sz w:val="24"/>
        </w:rPr>
        <w:t>万元</w:t>
      </w:r>
    </w:p>
    <w:p>
      <w:pPr>
        <w:pStyle w:val="18"/>
        <w:numPr>
          <w:ilvl w:val="0"/>
          <w:numId w:val="1"/>
        </w:numPr>
        <w:tabs>
          <w:tab w:val="left" w:pos="1251"/>
        </w:tabs>
        <w:spacing w:before="160" w:after="0" w:line="240" w:lineRule="auto"/>
        <w:ind w:left="1250" w:right="0" w:hanging="230"/>
        <w:jc w:val="left"/>
        <w:rPr>
          <w:color w:val="auto"/>
          <w:sz w:val="24"/>
        </w:rPr>
      </w:pPr>
      <w:r>
        <w:rPr>
          <w:color w:val="auto"/>
          <w:sz w:val="24"/>
        </w:rPr>
        <w:t>采购需求：</w:t>
      </w:r>
    </w:p>
    <w:p>
      <w:pPr>
        <w:pStyle w:val="8"/>
        <w:spacing w:before="4"/>
        <w:rPr>
          <w:color w:val="auto"/>
          <w:sz w:val="12"/>
        </w:rPr>
      </w:pPr>
    </w:p>
    <w:tbl>
      <w:tblPr>
        <w:tblStyle w:val="13"/>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9"/>
              <w:spacing w:before="136"/>
              <w:ind w:left="129" w:right="125"/>
              <w:jc w:val="center"/>
              <w:rPr>
                <w:color w:val="auto"/>
                <w:sz w:val="21"/>
              </w:rPr>
            </w:pPr>
            <w:r>
              <w:rPr>
                <w:color w:val="auto"/>
                <w:w w:val="95"/>
                <w:sz w:val="21"/>
              </w:rPr>
              <w:t>包号</w:t>
            </w:r>
          </w:p>
        </w:tc>
        <w:tc>
          <w:tcPr>
            <w:tcW w:w="1757" w:type="dxa"/>
          </w:tcPr>
          <w:p>
            <w:pPr>
              <w:pStyle w:val="19"/>
              <w:spacing w:before="136"/>
              <w:ind w:left="358"/>
              <w:rPr>
                <w:color w:val="auto"/>
                <w:sz w:val="21"/>
              </w:rPr>
            </w:pPr>
            <w:r>
              <w:rPr>
                <w:color w:val="auto"/>
                <w:sz w:val="21"/>
              </w:rPr>
              <w:t>标的名称</w:t>
            </w:r>
          </w:p>
        </w:tc>
        <w:tc>
          <w:tcPr>
            <w:tcW w:w="1935" w:type="dxa"/>
          </w:tcPr>
          <w:p>
            <w:pPr>
              <w:pStyle w:val="19"/>
              <w:spacing w:before="1"/>
              <w:ind w:left="95" w:right="87"/>
              <w:jc w:val="center"/>
              <w:rPr>
                <w:color w:val="auto"/>
                <w:sz w:val="21"/>
                <w:highlight w:val="none"/>
              </w:rPr>
            </w:pPr>
            <w:r>
              <w:rPr>
                <w:color w:val="auto"/>
                <w:sz w:val="21"/>
                <w:highlight w:val="none"/>
              </w:rPr>
              <w:t>采购包预算金额</w:t>
            </w:r>
          </w:p>
          <w:p>
            <w:pPr>
              <w:pStyle w:val="19"/>
              <w:spacing w:before="3" w:line="251" w:lineRule="exact"/>
              <w:ind w:left="92" w:right="87"/>
              <w:jc w:val="center"/>
              <w:rPr>
                <w:color w:val="auto"/>
                <w:sz w:val="21"/>
              </w:rPr>
            </w:pPr>
            <w:r>
              <w:rPr>
                <w:color w:val="auto"/>
                <w:sz w:val="21"/>
                <w:highlight w:val="none"/>
              </w:rPr>
              <w:t>（万元）</w:t>
            </w:r>
          </w:p>
        </w:tc>
        <w:tc>
          <w:tcPr>
            <w:tcW w:w="1035" w:type="dxa"/>
          </w:tcPr>
          <w:p>
            <w:pPr>
              <w:pStyle w:val="19"/>
              <w:spacing w:before="136"/>
              <w:ind w:left="287"/>
              <w:rPr>
                <w:color w:val="auto"/>
                <w:sz w:val="21"/>
              </w:rPr>
            </w:pPr>
            <w:r>
              <w:rPr>
                <w:color w:val="auto"/>
                <w:sz w:val="21"/>
              </w:rPr>
              <w:t>数量</w:t>
            </w:r>
          </w:p>
        </w:tc>
        <w:tc>
          <w:tcPr>
            <w:tcW w:w="3960" w:type="dxa"/>
          </w:tcPr>
          <w:p>
            <w:pPr>
              <w:pStyle w:val="19"/>
              <w:spacing w:before="136"/>
              <w:ind w:left="981"/>
              <w:rPr>
                <w:color w:val="auto"/>
                <w:sz w:val="21"/>
              </w:rPr>
            </w:pPr>
            <w:r>
              <w:rPr>
                <w:color w:val="auto"/>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9"/>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19"/>
              <w:jc w:val="center"/>
              <w:rPr>
                <w:rFonts w:ascii="Times New Roman"/>
                <w:color w:val="auto"/>
                <w:sz w:val="22"/>
                <w:highlight w:val="none"/>
              </w:rPr>
            </w:pPr>
            <w:r>
              <w:rPr>
                <w:rFonts w:hint="eastAsia"/>
                <w:color w:val="auto"/>
                <w:highlight w:val="none"/>
                <w:lang w:eastAsia="zh-CN"/>
              </w:rPr>
              <w:t>北海市妇幼保健院2025-2026年安防维保服务</w:t>
            </w:r>
          </w:p>
        </w:tc>
        <w:tc>
          <w:tcPr>
            <w:tcW w:w="1935" w:type="dxa"/>
            <w:vAlign w:val="center"/>
          </w:tcPr>
          <w:p>
            <w:pPr>
              <w:pStyle w:val="19"/>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lang w:val="en-US" w:eastAsia="zh-CN"/>
              </w:rPr>
              <w:t>7.8</w:t>
            </w:r>
          </w:p>
        </w:tc>
        <w:tc>
          <w:tcPr>
            <w:tcW w:w="1035" w:type="dxa"/>
            <w:vAlign w:val="center"/>
          </w:tcPr>
          <w:p>
            <w:pPr>
              <w:pStyle w:val="19"/>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19"/>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8"/>
        <w:rPr>
          <w:color w:val="auto"/>
          <w:sz w:val="33"/>
          <w:highlight w:val="none"/>
        </w:rPr>
      </w:pPr>
    </w:p>
    <w:p>
      <w:pPr>
        <w:pStyle w:val="18"/>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lang w:eastAsia="zh-CN"/>
        </w:rPr>
        <w:t>服务</w:t>
      </w:r>
      <w:r>
        <w:rPr>
          <w:rFonts w:hint="eastAsia"/>
          <w:color w:val="auto"/>
          <w:sz w:val="24"/>
          <w:highlight w:val="none"/>
        </w:rPr>
        <w:t>期限</w:t>
      </w:r>
      <w:r>
        <w:rPr>
          <w:color w:val="auto"/>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eastAsia="zh-CN"/>
        </w:rPr>
        <w:t>自合同签订之日起</w:t>
      </w:r>
      <w:r>
        <w:rPr>
          <w:rFonts w:hint="eastAsia" w:ascii="Times New Roman" w:eastAsia="宋体"/>
          <w:color w:val="auto"/>
          <w:sz w:val="24"/>
          <w:highlight w:val="none"/>
          <w:u w:val="single"/>
          <w:lang w:val="en-US" w:eastAsia="zh-CN"/>
        </w:rPr>
        <w:t>1年</w:t>
      </w:r>
      <w:r>
        <w:rPr>
          <w:rFonts w:ascii="Times New Roman" w:eastAsia="Times New Roman"/>
          <w:color w:val="auto"/>
          <w:sz w:val="24"/>
          <w:highlight w:val="none"/>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w w:val="105"/>
          <w:sz w:val="24"/>
          <w:highlight w:val="none"/>
        </w:rPr>
        <w:t>本项目是否接受联合体</w:t>
      </w:r>
      <w:r>
        <w:rPr>
          <w:rFonts w:hint="eastAsia"/>
          <w:color w:val="auto"/>
          <w:w w:val="105"/>
          <w:sz w:val="24"/>
          <w:highlight w:val="none"/>
          <w:lang w:eastAsia="zh-CN"/>
        </w:rPr>
        <w:t>：</w:t>
      </w:r>
      <w:r>
        <w:rPr>
          <w:color w:val="auto"/>
          <w:w w:val="105"/>
          <w:sz w:val="24"/>
          <w:highlight w:val="none"/>
        </w:rPr>
        <w:t>否。</w:t>
      </w:r>
    </w:p>
    <w:p>
      <w:pPr>
        <w:pStyle w:val="8"/>
        <w:rPr>
          <w:color w:val="auto"/>
          <w:sz w:val="28"/>
          <w:highlight w:val="none"/>
        </w:rPr>
      </w:pPr>
    </w:p>
    <w:p>
      <w:pPr>
        <w:pStyle w:val="8"/>
        <w:spacing w:before="220"/>
        <w:ind w:left="541"/>
        <w:rPr>
          <w:color w:val="auto"/>
          <w:highlight w:val="none"/>
        </w:rPr>
      </w:pPr>
      <w:r>
        <w:rPr>
          <w:color w:val="auto"/>
          <w:highlight w:val="none"/>
        </w:rPr>
        <w:t>二、申请人的资格要求（须同时满足）</w:t>
      </w:r>
    </w:p>
    <w:p>
      <w:pPr>
        <w:pStyle w:val="18"/>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18"/>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18"/>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sz w:val="24"/>
          <w:highlight w:val="none"/>
        </w:rPr>
        <w:t>拟投入维保人员需持有建筑智能</w:t>
      </w:r>
      <w:r>
        <w:rPr>
          <w:rFonts w:hint="eastAsia"/>
          <w:color w:val="auto"/>
          <w:sz w:val="24"/>
          <w:highlight w:val="none"/>
          <w:lang w:eastAsia="zh-CN"/>
        </w:rPr>
        <w:t>或</w:t>
      </w:r>
      <w:r>
        <w:rPr>
          <w:rFonts w:hint="eastAsia"/>
          <w:color w:val="auto"/>
          <w:sz w:val="24"/>
          <w:highlight w:val="none"/>
        </w:rPr>
        <w:t>计算机等相关专业职称证书，拟投入负责人和技术负责人具备二级注册机电专业建造师执业资格证书</w:t>
      </w:r>
      <w:r>
        <w:rPr>
          <w:rFonts w:hint="eastAsia"/>
          <w:color w:val="auto"/>
          <w:sz w:val="24"/>
          <w:highlight w:val="none"/>
          <w:lang w:eastAsia="zh-CN"/>
        </w:rPr>
        <w:t>及以上证书</w:t>
      </w:r>
      <w:r>
        <w:rPr>
          <w:rFonts w:hint="eastAsia"/>
          <w:color w:val="auto"/>
          <w:sz w:val="24"/>
          <w:highlight w:val="none"/>
        </w:rPr>
        <w:t>。</w:t>
      </w:r>
    </w:p>
    <w:p>
      <w:pPr>
        <w:pStyle w:val="18"/>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8"/>
        <w:spacing w:before="219"/>
        <w:ind w:left="541"/>
        <w:rPr>
          <w:color w:val="auto"/>
        </w:rPr>
      </w:pPr>
      <w:r>
        <w:rPr>
          <w:rFonts w:hint="eastAsia"/>
          <w:color w:val="auto"/>
          <w:lang w:eastAsia="zh-CN"/>
        </w:rPr>
        <w:t>三</w:t>
      </w:r>
      <w:r>
        <w:rPr>
          <w:color w:val="auto"/>
        </w:rPr>
        <w:t>、响应文件提交</w:t>
      </w:r>
    </w:p>
    <w:p>
      <w:pPr>
        <w:pStyle w:val="8"/>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5</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 xml:space="preserve"> 7  </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8"/>
        <w:spacing w:before="12"/>
        <w:rPr>
          <w:color w:val="auto"/>
          <w:sz w:val="32"/>
        </w:rPr>
      </w:pPr>
    </w:p>
    <w:p>
      <w:pPr>
        <w:pStyle w:val="8"/>
        <w:spacing w:before="1"/>
        <w:ind w:left="541"/>
        <w:rPr>
          <w:color w:val="auto"/>
        </w:rPr>
      </w:pPr>
      <w:r>
        <w:rPr>
          <w:rFonts w:hint="eastAsia"/>
          <w:color w:val="auto"/>
          <w:lang w:eastAsia="zh-CN"/>
        </w:rPr>
        <w:t>四</w:t>
      </w:r>
      <w:r>
        <w:rPr>
          <w:color w:val="auto"/>
        </w:rPr>
        <w:t>、开启</w:t>
      </w:r>
    </w:p>
    <w:p>
      <w:pPr>
        <w:pStyle w:val="8"/>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8"/>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8"/>
        <w:rPr>
          <w:color w:val="auto"/>
          <w:sz w:val="33"/>
        </w:rPr>
      </w:pPr>
    </w:p>
    <w:p>
      <w:pPr>
        <w:pStyle w:val="8"/>
        <w:ind w:left="541"/>
        <w:rPr>
          <w:color w:val="auto"/>
        </w:rPr>
      </w:pPr>
      <w:r>
        <w:rPr>
          <w:rFonts w:hint="eastAsia"/>
          <w:color w:val="auto"/>
          <w:lang w:eastAsia="zh-CN"/>
        </w:rPr>
        <w:t>五</w:t>
      </w:r>
      <w:r>
        <w:rPr>
          <w:color w:val="auto"/>
        </w:rPr>
        <w:t>、公告期限</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color w:val="auto"/>
        </w:rPr>
      </w:pPr>
      <w:r>
        <w:rPr>
          <w:rFonts w:hint="eastAsia"/>
          <w:color w:val="auto"/>
          <w:lang w:eastAsia="zh-CN"/>
        </w:rPr>
        <w:t>六</w:t>
      </w:r>
      <w:r>
        <w:rPr>
          <w:color w:val="auto"/>
        </w:rPr>
        <w:t>、对本次采购提出询问，请按以下方式联系。</w:t>
      </w:r>
    </w:p>
    <w:p>
      <w:pPr>
        <w:pStyle w:val="8"/>
        <w:numPr>
          <w:ilvl w:val="2"/>
          <w:numId w:val="3"/>
        </w:numPr>
        <w:bidi w:val="0"/>
        <w:rPr>
          <w:color w:val="auto"/>
        </w:rPr>
      </w:pPr>
      <w:r>
        <w:rPr>
          <w:color w:val="auto"/>
        </w:rPr>
        <w:t>采购人信息</w:t>
      </w:r>
    </w:p>
    <w:p>
      <w:pPr>
        <w:pStyle w:val="8"/>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8"/>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8"/>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8"/>
        <w:spacing w:before="8"/>
        <w:rPr>
          <w:color w:val="auto"/>
          <w:sz w:val="26"/>
        </w:rPr>
      </w:pPr>
    </w:p>
    <w:p>
      <w:pPr>
        <w:pStyle w:val="4"/>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18"/>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比选</w:t>
      </w:r>
      <w:r>
        <w:rPr>
          <w:color w:val="auto"/>
          <w:sz w:val="24"/>
          <w:highlight w:val="none"/>
        </w:rPr>
        <w:t>文件中计量单位的使用及</w:t>
      </w:r>
      <w:r>
        <w:rPr>
          <w:rFonts w:hint="eastAsia"/>
          <w:color w:val="auto"/>
          <w:sz w:val="24"/>
          <w:highlight w:val="none"/>
          <w:lang w:eastAsia="zh-CN"/>
        </w:rPr>
        <w:t>比选</w:t>
      </w:r>
      <w:r>
        <w:rPr>
          <w:color w:val="auto"/>
          <w:sz w:val="24"/>
          <w:highlight w:val="none"/>
        </w:rPr>
        <w:t>语言</w:t>
      </w:r>
    </w:p>
    <w:p>
      <w:pPr>
        <w:pStyle w:val="18"/>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18"/>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比选</w:t>
      </w:r>
      <w:r>
        <w:rPr>
          <w:color w:val="auto"/>
          <w:sz w:val="24"/>
          <w:highlight w:val="none"/>
        </w:rPr>
        <w:t>文件有特殊要求外，本项目</w:t>
      </w:r>
      <w:r>
        <w:rPr>
          <w:rFonts w:hint="eastAsia"/>
          <w:color w:val="auto"/>
          <w:sz w:val="24"/>
          <w:highlight w:val="none"/>
          <w:lang w:eastAsia="zh-CN"/>
        </w:rPr>
        <w:t>比选</w:t>
      </w:r>
      <w:r>
        <w:rPr>
          <w:color w:val="auto"/>
          <w:sz w:val="24"/>
          <w:highlight w:val="none"/>
        </w:rPr>
        <w:t>所使用的计量单位，应采用中华人民共和国法定计量单位。</w:t>
      </w:r>
    </w:p>
    <w:p>
      <w:pPr>
        <w:pStyle w:val="18"/>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8"/>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18"/>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比选</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18"/>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比选</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比选</w:t>
      </w:r>
      <w:r>
        <w:rPr>
          <w:color w:val="auto"/>
          <w:sz w:val="24"/>
          <w:highlight w:val="none"/>
        </w:rPr>
        <w:t>文件未</w:t>
      </w:r>
      <w:r>
        <w:rPr>
          <w:color w:val="auto"/>
          <w:w w:val="110"/>
          <w:sz w:val="24"/>
          <w:highlight w:val="none"/>
        </w:rPr>
        <w:t>提供格式的内容，可由供应商自行编写。</w:t>
      </w:r>
    </w:p>
    <w:p>
      <w:pPr>
        <w:pStyle w:val="18"/>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18"/>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18"/>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18"/>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18"/>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比选</w:t>
      </w:r>
      <w:r>
        <w:rPr>
          <w:color w:val="auto"/>
          <w:sz w:val="24"/>
        </w:rPr>
        <w:t>文件要求完成本项目的全部相关费用。</w:t>
      </w:r>
    </w:p>
    <w:p>
      <w:pPr>
        <w:pStyle w:val="18"/>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18"/>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8"/>
        <w:spacing w:before="7"/>
        <w:rPr>
          <w:color w:val="auto"/>
          <w:sz w:val="27"/>
        </w:rPr>
      </w:pPr>
    </w:p>
    <w:p>
      <w:pPr>
        <w:pStyle w:val="4"/>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18"/>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18"/>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pacing w:val="-9"/>
          <w:sz w:val="24"/>
        </w:rPr>
        <w:t xml:space="preserve">供应商不足 </w:t>
      </w:r>
      <w:r>
        <w:rPr>
          <w:rFonts w:ascii="Tahoma" w:eastAsia="Tahoma"/>
          <w:color w:val="auto"/>
          <w:sz w:val="24"/>
        </w:rPr>
        <w:t>3</w:t>
      </w:r>
      <w:r>
        <w:rPr>
          <w:rFonts w:ascii="Tahoma" w:eastAsia="Tahoma"/>
          <w:color w:val="auto"/>
          <w:spacing w:val="-4"/>
          <w:sz w:val="24"/>
        </w:rPr>
        <w:t xml:space="preserve"> </w:t>
      </w:r>
      <w:r>
        <w:rPr>
          <w:color w:val="auto"/>
          <w:sz w:val="24"/>
        </w:rPr>
        <w:t>家的，不予解密。</w:t>
      </w:r>
    </w:p>
    <w:p>
      <w:pPr>
        <w:pStyle w:val="18"/>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18"/>
        <w:numPr>
          <w:ilvl w:val="1"/>
          <w:numId w:val="4"/>
        </w:numPr>
        <w:tabs>
          <w:tab w:val="left" w:pos="1617"/>
        </w:tabs>
        <w:spacing w:before="156" w:after="0" w:line="240" w:lineRule="auto"/>
        <w:ind w:left="1609" w:leftChars="0" w:right="0" w:hanging="721" w:firstLineChars="0"/>
        <w:jc w:val="both"/>
        <w:rPr>
          <w:color w:val="auto"/>
          <w:sz w:val="24"/>
        </w:rPr>
      </w:pPr>
      <w:r>
        <w:rPr>
          <w:rFonts w:hint="eastAsia"/>
          <w:color w:val="auto"/>
          <w:sz w:val="24"/>
          <w:lang w:eastAsia="zh-CN"/>
        </w:rPr>
        <w:t>评审中允许负偏离的条款数为 0  项。</w:t>
      </w:r>
    </w:p>
    <w:p>
      <w:pPr>
        <w:pStyle w:val="18"/>
        <w:numPr>
          <w:ilvl w:val="0"/>
          <w:numId w:val="0"/>
        </w:numPr>
        <w:tabs>
          <w:tab w:val="left" w:pos="897"/>
        </w:tabs>
        <w:spacing w:before="161" w:after="0" w:line="240" w:lineRule="auto"/>
        <w:ind w:left="540" w:leftChars="0" w:right="0" w:rightChars="0"/>
        <w:jc w:val="both"/>
        <w:rPr>
          <w:color w:val="auto"/>
          <w:sz w:val="24"/>
        </w:rPr>
      </w:pPr>
    </w:p>
    <w:p>
      <w:pPr>
        <w:pStyle w:val="18"/>
        <w:numPr>
          <w:ilvl w:val="0"/>
          <w:numId w:val="0"/>
        </w:numPr>
        <w:tabs>
          <w:tab w:val="left" w:pos="897"/>
        </w:tabs>
        <w:spacing w:before="161" w:after="0" w:line="240" w:lineRule="auto"/>
        <w:ind w:right="0" w:rightChars="0"/>
        <w:jc w:val="both"/>
        <w:rPr>
          <w:rFonts w:hint="default" w:eastAsia="宋体"/>
          <w:color w:val="auto"/>
          <w:sz w:val="24"/>
          <w:lang w:val="en-US" w:eastAsia="zh-CN"/>
        </w:rPr>
        <w:sectPr>
          <w:pgSz w:w="11910" w:h="16840"/>
          <w:pgMar w:top="1340" w:right="560" w:bottom="1080" w:left="1160" w:header="879" w:footer="892" w:gutter="0"/>
          <w:cols w:space="720" w:num="1"/>
        </w:sectPr>
      </w:pPr>
    </w:p>
    <w:p>
      <w:pPr>
        <w:pStyle w:val="8"/>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方法和评审</w:t>
      </w:r>
      <w:r>
        <w:rPr>
          <w:color w:val="auto"/>
          <w:sz w:val="36"/>
          <w:szCs w:val="36"/>
        </w:rPr>
        <w:t>标准</w:t>
      </w:r>
    </w:p>
    <w:p>
      <w:pPr>
        <w:pStyle w:val="8"/>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none"/>
          <w:lang w:val="en-US" w:eastAsia="zh-CN"/>
        </w:rPr>
        <w:t>院内比选（综合评分法），对单位提供报价、服务</w:t>
      </w:r>
      <w:r>
        <w:rPr>
          <w:rFonts w:hint="eastAsia"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lang w:val="en-US" w:eastAsia="zh-CN"/>
        </w:rPr>
        <w:t>等进行综合谈判定，由评审小组推荐成交候选单位，本项目允许竞</w:t>
      </w:r>
      <w:r>
        <w:rPr>
          <w:rFonts w:hint="eastAsia" w:ascii="宋体" w:hAnsi="宋体" w:eastAsia="宋体" w:cs="宋体"/>
          <w:b w:val="0"/>
          <w:bCs w:val="0"/>
          <w:color w:val="auto"/>
          <w:sz w:val="24"/>
          <w:szCs w:val="24"/>
          <w:lang w:val="en-US" w:eastAsia="zh-CN"/>
        </w:rPr>
        <w:t>标人进行二次报价。</w:t>
      </w:r>
    </w:p>
    <w:p>
      <w:pPr>
        <w:pStyle w:val="2"/>
        <w:numPr>
          <w:ilvl w:val="0"/>
          <w:numId w:val="5"/>
        </w:numPr>
        <w:rPr>
          <w:rFonts w:hint="eastAsia" w:ascii="宋体" w:eastAsia="宋体" w:cs="宋体"/>
          <w:bCs/>
          <w:color w:val="auto"/>
          <w:sz w:val="21"/>
          <w:szCs w:val="21"/>
        </w:rPr>
      </w:pPr>
      <w:r>
        <w:rPr>
          <w:rFonts w:hint="eastAsia" w:ascii="宋体" w:eastAsia="宋体" w:cs="宋体"/>
          <w:bCs/>
          <w:color w:val="auto"/>
          <w:sz w:val="21"/>
          <w:szCs w:val="21"/>
        </w:rPr>
        <w:t>对进入详评的，采用百分制综合评分法。</w:t>
      </w:r>
    </w:p>
    <w:p>
      <w:pPr>
        <w:pStyle w:val="8"/>
        <w:rPr>
          <w:color w:val="auto"/>
          <w:sz w:val="20"/>
        </w:rPr>
      </w:pPr>
    </w:p>
    <w:tbl>
      <w:tblPr>
        <w:tblStyle w:val="13"/>
        <w:tblpPr w:leftFromText="180" w:rightFromText="180" w:vertAnchor="text" w:horzAnchor="page" w:tblpX="1172" w:tblpY="309"/>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6"/>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2"/>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7254" w:type="dxa"/>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1</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p>
            <w:pPr>
              <w:wordWrap w:val="0"/>
              <w:spacing w:line="360" w:lineRule="auto"/>
              <w:jc w:val="center"/>
              <w:rPr>
                <w:rFonts w:hint="eastAsia" w:ascii="宋体" w:hAnsi="宋体" w:eastAsia="宋体" w:cs="宋体"/>
                <w:color w:val="auto"/>
                <w:sz w:val="24"/>
                <w:szCs w:val="24"/>
                <w:highlight w:val="yellow"/>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c>
          <w:tcPr>
            <w:tcW w:w="7254" w:type="dxa"/>
            <w:shd w:val="clear" w:color="auto" w:fill="auto"/>
          </w:tcPr>
          <w:p>
            <w:pPr>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最低的</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为评标基准价，基准价得分为</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p>
            <w:pPr>
              <w:wordWrap w:val="0"/>
              <w:spacing w:line="360" w:lineRule="auto"/>
              <w:rPr>
                <w:rFonts w:ascii="宋体" w:hAnsi="宋体" w:cs="宋体"/>
                <w:color w:val="auto"/>
                <w:szCs w:val="21"/>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某投标人价格分 =（评标基准价÷某投标人</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2</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对项目的理解</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ind w:left="0" w:leftChars="0" w:firstLine="0" w:firstLineChars="0"/>
              <w:rPr>
                <w:rFonts w:hint="eastAsia" w:ascii="宋体" w:hAnsi="宋体" w:cs="宋体"/>
                <w:color w:val="auto"/>
                <w:kern w:val="0"/>
                <w:szCs w:val="21"/>
              </w:rPr>
            </w:pPr>
            <w:r>
              <w:rPr>
                <w:rFonts w:hint="eastAsia" w:ascii="宋体" w:hAnsi="宋体" w:cs="宋体"/>
                <w:color w:val="auto"/>
                <w:kern w:val="0"/>
                <w:szCs w:val="21"/>
              </w:rPr>
              <w:t>一档（</w:t>
            </w:r>
            <w:r>
              <w:rPr>
                <w:rFonts w:hint="eastAsia" w:cs="宋体"/>
                <w:color w:val="auto"/>
                <w:kern w:val="0"/>
                <w:szCs w:val="21"/>
                <w:lang w:val="en-US" w:eastAsia="zh-CN"/>
              </w:rPr>
              <w:t>10</w:t>
            </w:r>
            <w:r>
              <w:rPr>
                <w:rFonts w:hint="eastAsia" w:ascii="宋体" w:hAnsi="宋体" w:cs="宋体"/>
                <w:color w:val="auto"/>
                <w:kern w:val="0"/>
                <w:szCs w:val="21"/>
              </w:rPr>
              <w:t>分）：能提供关于项目的现状问题和现状分析方案，</w:t>
            </w:r>
            <w:r>
              <w:rPr>
                <w:rFonts w:hint="eastAsia" w:hAnsi="宋体"/>
                <w:bCs/>
                <w:color w:val="auto"/>
                <w:szCs w:val="21"/>
                <w:lang w:eastAsia="zh-CN"/>
              </w:rPr>
              <w:t>针对性不够精确，</w:t>
            </w:r>
            <w:r>
              <w:rPr>
                <w:rFonts w:hint="eastAsia" w:ascii="宋体" w:hAnsi="宋体" w:cs="宋体"/>
                <w:color w:val="auto"/>
                <w:kern w:val="0"/>
                <w:szCs w:val="21"/>
              </w:rPr>
              <w:t>无明显错误表述，基本满足采购文件的要求。</w:t>
            </w:r>
          </w:p>
          <w:p>
            <w:pPr>
              <w:pStyle w:val="21"/>
              <w:spacing w:line="360" w:lineRule="auto"/>
              <w:ind w:left="0" w:leftChars="0" w:firstLine="0" w:firstLineChars="0"/>
              <w:rPr>
                <w:rFonts w:hint="eastAsia" w:ascii="宋体" w:hAnsi="宋体" w:cs="宋体"/>
                <w:color w:val="auto"/>
                <w:kern w:val="0"/>
                <w:szCs w:val="21"/>
              </w:rPr>
            </w:pPr>
            <w:r>
              <w:rPr>
                <w:rFonts w:hint="eastAsia" w:ascii="宋体" w:hAnsi="宋体" w:cs="宋体"/>
                <w:color w:val="auto"/>
                <w:kern w:val="0"/>
                <w:szCs w:val="21"/>
              </w:rPr>
              <w:t>二档（</w:t>
            </w:r>
            <w:r>
              <w:rPr>
                <w:rFonts w:hint="eastAsia" w:cs="宋体"/>
                <w:color w:val="auto"/>
                <w:kern w:val="0"/>
                <w:szCs w:val="21"/>
                <w:lang w:val="en-US" w:eastAsia="zh-CN"/>
              </w:rPr>
              <w:t>15</w:t>
            </w:r>
            <w:r>
              <w:rPr>
                <w:rFonts w:hint="eastAsia" w:ascii="宋体" w:hAnsi="宋体" w:cs="宋体"/>
                <w:color w:val="auto"/>
                <w:kern w:val="0"/>
                <w:szCs w:val="21"/>
              </w:rPr>
              <w:t>分）：能提供详细的现状分析方案，且对采购项目涵盖的对内容、现状、面临的问题进行阐述，阐述比较贴切项目，且对项目分析、理解到位。</w:t>
            </w:r>
          </w:p>
          <w:p>
            <w:pPr>
              <w:pStyle w:val="21"/>
              <w:spacing w:line="360" w:lineRule="auto"/>
              <w:ind w:left="0" w:leftChars="0" w:firstLine="0" w:firstLineChars="0"/>
              <w:rPr>
                <w:rFonts w:hint="eastAsia" w:ascii="宋体" w:hAnsi="宋体" w:cs="宋体"/>
                <w:color w:val="auto"/>
                <w:kern w:val="0"/>
                <w:szCs w:val="21"/>
              </w:rPr>
            </w:pPr>
            <w:r>
              <w:rPr>
                <w:rFonts w:hint="eastAsia" w:ascii="宋体" w:hAnsi="宋体" w:cs="宋体"/>
                <w:color w:val="auto"/>
                <w:kern w:val="0"/>
                <w:szCs w:val="21"/>
              </w:rPr>
              <w:t>三档（</w:t>
            </w:r>
            <w:r>
              <w:rPr>
                <w:rFonts w:hint="eastAsia" w:cs="宋体"/>
                <w:color w:val="auto"/>
                <w:kern w:val="0"/>
                <w:szCs w:val="21"/>
                <w:lang w:val="en-US" w:eastAsia="zh-CN"/>
              </w:rPr>
              <w:t>20</w:t>
            </w:r>
            <w:r>
              <w:rPr>
                <w:rFonts w:hint="eastAsia" w:ascii="宋体" w:hAnsi="宋体" w:cs="宋体"/>
                <w:color w:val="auto"/>
                <w:kern w:val="0"/>
                <w:szCs w:val="21"/>
              </w:rPr>
              <w:t>分）：能提供详细的现状分析方案，且对采购项目涵盖的对内容、现状、面临的问题进行阐述，阐述比较贴切项目，且对项目分析、理解到位。对项目重点、难点分析准确到位，针对项目特性对项目的建设提出专业有效的合理化建议。</w:t>
            </w:r>
          </w:p>
          <w:p>
            <w:pPr>
              <w:tabs>
                <w:tab w:val="left" w:pos="1446"/>
              </w:tabs>
              <w:wordWrap w:val="0"/>
              <w:spacing w:line="360" w:lineRule="auto"/>
              <w:rPr>
                <w:rFonts w:hint="eastAsia" w:ascii="宋体" w:hAnsi="宋体" w:eastAsia="宋体" w:cs="宋体"/>
                <w:color w:val="auto"/>
                <w:sz w:val="24"/>
                <w:szCs w:val="24"/>
                <w:lang w:eastAsia="zh-CN"/>
              </w:rPr>
            </w:pPr>
            <w:r>
              <w:rPr>
                <w:rFonts w:hint="eastAsia" w:cs="宋体"/>
                <w:b w:val="0"/>
                <w:bCs w:val="0"/>
                <w:color w:val="auto"/>
                <w:sz w:val="24"/>
                <w:szCs w:val="24"/>
                <w:lang w:eastAsia="zh-CN"/>
              </w:rPr>
              <w:t>注：不提供不得分。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r>
              <w:rPr>
                <w:rFonts w:ascii="宋体" w:hAnsi="宋体" w:cs="宋体"/>
                <w:color w:val="auto"/>
                <w:szCs w:val="21"/>
              </w:rPr>
              <w:t>3</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项目实施方案</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spacing w:line="440" w:lineRule="exact"/>
              <w:rPr>
                <w:rFonts w:hint="eastAsia"/>
              </w:rPr>
            </w:pPr>
            <w:r>
              <w:rPr>
                <w:rFonts w:hint="eastAsia"/>
                <w:lang w:eastAsia="zh-CN"/>
              </w:rPr>
              <w:t>一</w:t>
            </w:r>
            <w:r>
              <w:rPr>
                <w:rFonts w:hint="eastAsia"/>
              </w:rPr>
              <w:t>档（</w:t>
            </w:r>
            <w:r>
              <w:rPr>
                <w:rFonts w:hint="eastAsia"/>
                <w:lang w:val="en-US" w:eastAsia="zh-CN"/>
              </w:rPr>
              <w:t>5</w:t>
            </w:r>
            <w:r>
              <w:rPr>
                <w:rFonts w:hint="eastAsia"/>
              </w:rPr>
              <w:t>分）：</w:t>
            </w:r>
            <w:r>
              <w:rPr>
                <w:rFonts w:hint="eastAsia"/>
                <w:lang w:val="en-US" w:eastAsia="zh-CN"/>
              </w:rPr>
              <w:t>具有维保</w:t>
            </w:r>
            <w:r>
              <w:rPr>
                <w:rFonts w:hint="eastAsia"/>
              </w:rPr>
              <w:t>服务目标、</w:t>
            </w:r>
            <w:r>
              <w:rPr>
                <w:rFonts w:hint="eastAsia"/>
                <w:lang w:val="en-US" w:eastAsia="zh-CN"/>
              </w:rPr>
              <w:t>服务</w:t>
            </w:r>
            <w:r>
              <w:rPr>
                <w:rFonts w:hint="eastAsia"/>
              </w:rPr>
              <w:t>质量保障、</w:t>
            </w:r>
            <w:r>
              <w:rPr>
                <w:rFonts w:hint="eastAsia"/>
                <w:lang w:val="en-US" w:eastAsia="zh-CN"/>
              </w:rPr>
              <w:t>设备设施的月度巡检管理</w:t>
            </w:r>
            <w:r>
              <w:rPr>
                <w:rFonts w:hint="eastAsia"/>
                <w:lang w:eastAsia="zh-CN"/>
              </w:rPr>
              <w:t>、</w:t>
            </w:r>
            <w:r>
              <w:rPr>
                <w:rFonts w:hint="eastAsia"/>
                <w:lang w:val="en-US" w:eastAsia="zh-CN"/>
              </w:rPr>
              <w:t>月度</w:t>
            </w:r>
            <w:r>
              <w:rPr>
                <w:rFonts w:hint="eastAsia"/>
              </w:rPr>
              <w:t>维护保养及</w:t>
            </w:r>
            <w:r>
              <w:rPr>
                <w:rFonts w:hint="eastAsia"/>
                <w:lang w:val="en-US" w:eastAsia="zh-CN"/>
              </w:rPr>
              <w:t>设备故障</w:t>
            </w:r>
            <w:r>
              <w:rPr>
                <w:rFonts w:hint="eastAsia"/>
              </w:rPr>
              <w:t>巡检</w:t>
            </w:r>
            <w:r>
              <w:rPr>
                <w:rFonts w:hint="eastAsia"/>
                <w:lang w:val="en-US" w:eastAsia="zh-CN"/>
              </w:rPr>
              <w:t>方案</w:t>
            </w:r>
            <w:r>
              <w:rPr>
                <w:rFonts w:hint="eastAsia"/>
              </w:rPr>
              <w:t>，具有</w:t>
            </w:r>
            <w:r>
              <w:rPr>
                <w:rFonts w:hint="eastAsia"/>
                <w:lang w:val="en-US" w:eastAsia="zh-CN"/>
              </w:rPr>
              <w:t>各类设备故障维保服务</w:t>
            </w:r>
            <w:r>
              <w:rPr>
                <w:rFonts w:hint="eastAsia"/>
              </w:rPr>
              <w:t>方案。</w:t>
            </w:r>
          </w:p>
          <w:p>
            <w:pPr>
              <w:spacing w:line="440" w:lineRule="exact"/>
              <w:rPr>
                <w:rFonts w:hint="eastAsia"/>
                <w:lang w:val="en-US" w:eastAsia="zh-CN"/>
              </w:rPr>
            </w:pPr>
            <w:r>
              <w:rPr>
                <w:rFonts w:hint="eastAsia"/>
                <w:lang w:eastAsia="zh-CN"/>
              </w:rPr>
              <w:t>二</w:t>
            </w:r>
            <w:r>
              <w:rPr>
                <w:rFonts w:hint="eastAsia"/>
              </w:rPr>
              <w:t>档（</w:t>
            </w:r>
            <w:r>
              <w:rPr>
                <w:rFonts w:hint="eastAsia"/>
                <w:lang w:val="en-US" w:eastAsia="zh-CN"/>
              </w:rPr>
              <w:t>10</w:t>
            </w:r>
            <w:r>
              <w:rPr>
                <w:rFonts w:hint="eastAsia"/>
              </w:rPr>
              <w:t>分）：</w:t>
            </w:r>
            <w:r>
              <w:rPr>
                <w:rFonts w:hint="eastAsia"/>
                <w:lang w:val="en-US" w:eastAsia="zh-CN"/>
              </w:rPr>
              <w:t>具有维保</w:t>
            </w:r>
            <w:r>
              <w:rPr>
                <w:rFonts w:hint="eastAsia"/>
              </w:rPr>
              <w:t>服务目标、</w:t>
            </w:r>
            <w:r>
              <w:rPr>
                <w:rFonts w:hint="eastAsia"/>
                <w:lang w:val="en-US" w:eastAsia="zh-CN"/>
              </w:rPr>
              <w:t>服务</w:t>
            </w:r>
            <w:r>
              <w:rPr>
                <w:rFonts w:hint="eastAsia"/>
              </w:rPr>
              <w:t>质量保障、</w:t>
            </w:r>
            <w:r>
              <w:rPr>
                <w:rFonts w:hint="eastAsia"/>
                <w:lang w:val="en-US" w:eastAsia="zh-CN"/>
              </w:rPr>
              <w:t>设备设施的月度巡检管理</w:t>
            </w:r>
            <w:r>
              <w:rPr>
                <w:rFonts w:hint="eastAsia"/>
                <w:lang w:eastAsia="zh-CN"/>
              </w:rPr>
              <w:t>、</w:t>
            </w:r>
            <w:r>
              <w:rPr>
                <w:rFonts w:hint="eastAsia"/>
                <w:lang w:val="en-US" w:eastAsia="zh-CN"/>
              </w:rPr>
              <w:t>月度</w:t>
            </w:r>
            <w:r>
              <w:rPr>
                <w:rFonts w:hint="eastAsia"/>
              </w:rPr>
              <w:t>维护保养及</w:t>
            </w:r>
            <w:r>
              <w:rPr>
                <w:rFonts w:hint="eastAsia"/>
                <w:lang w:val="en-US" w:eastAsia="zh-CN"/>
              </w:rPr>
              <w:t>设备、系统故障</w:t>
            </w:r>
            <w:r>
              <w:rPr>
                <w:rFonts w:hint="eastAsia"/>
              </w:rPr>
              <w:t>巡检</w:t>
            </w:r>
            <w:r>
              <w:rPr>
                <w:rFonts w:hint="eastAsia"/>
                <w:lang w:val="en-US" w:eastAsia="zh-CN"/>
              </w:rPr>
              <w:t>方案</w:t>
            </w:r>
            <w:r>
              <w:rPr>
                <w:rFonts w:hint="eastAsia"/>
              </w:rPr>
              <w:t>，具有</w:t>
            </w:r>
            <w:r>
              <w:rPr>
                <w:rFonts w:hint="eastAsia"/>
                <w:lang w:val="en-US" w:eastAsia="zh-CN"/>
              </w:rPr>
              <w:t>各类设备、系统故障维保服务</w:t>
            </w:r>
            <w:r>
              <w:rPr>
                <w:rFonts w:hint="eastAsia"/>
              </w:rPr>
              <w:t>方案</w:t>
            </w:r>
            <w:r>
              <w:rPr>
                <w:rFonts w:hint="eastAsia"/>
                <w:lang w:eastAsia="zh-CN"/>
              </w:rPr>
              <w:t>，具有收集、管理维保的相关技术资料、档案管理方法</w:t>
            </w:r>
            <w:r>
              <w:rPr>
                <w:rFonts w:hint="eastAsia"/>
              </w:rPr>
              <w:t>。</w:t>
            </w:r>
            <w:r>
              <w:rPr>
                <w:rFonts w:hint="eastAsia"/>
                <w:lang w:val="en-US" w:eastAsia="zh-CN"/>
              </w:rPr>
              <w:t xml:space="preserve"> </w:t>
            </w:r>
          </w:p>
          <w:p>
            <w:pPr>
              <w:spacing w:line="440" w:lineRule="exact"/>
              <w:rPr>
                <w:rFonts w:hint="eastAsia"/>
              </w:rPr>
            </w:pPr>
            <w:r>
              <w:rPr>
                <w:rFonts w:hint="eastAsia"/>
                <w:lang w:eastAsia="zh-CN"/>
              </w:rPr>
              <w:t>三</w:t>
            </w:r>
            <w:r>
              <w:rPr>
                <w:rFonts w:hint="eastAsia"/>
              </w:rPr>
              <w:t>档（</w:t>
            </w:r>
            <w:r>
              <w:rPr>
                <w:rFonts w:hint="eastAsia"/>
                <w:lang w:val="en-US" w:eastAsia="zh-CN"/>
              </w:rPr>
              <w:t>15</w:t>
            </w:r>
            <w:r>
              <w:rPr>
                <w:rFonts w:hint="eastAsia"/>
              </w:rPr>
              <w:t>分）</w:t>
            </w:r>
            <w:r>
              <w:rPr>
                <w:rFonts w:hint="eastAsia"/>
                <w:lang w:eastAsia="zh-CN"/>
              </w:rPr>
              <w:t>：</w:t>
            </w:r>
            <w:r>
              <w:rPr>
                <w:rFonts w:hint="eastAsia"/>
                <w:lang w:val="en-US" w:eastAsia="zh-CN"/>
              </w:rPr>
              <w:t>具有维保</w:t>
            </w:r>
            <w:r>
              <w:rPr>
                <w:rFonts w:hint="eastAsia"/>
              </w:rPr>
              <w:t>服务目标、</w:t>
            </w:r>
            <w:r>
              <w:rPr>
                <w:rFonts w:hint="eastAsia"/>
                <w:lang w:val="en-US" w:eastAsia="zh-CN"/>
              </w:rPr>
              <w:t>服务</w:t>
            </w:r>
            <w:r>
              <w:rPr>
                <w:rFonts w:hint="eastAsia"/>
              </w:rPr>
              <w:t>质量保障、</w:t>
            </w:r>
            <w:r>
              <w:rPr>
                <w:rFonts w:hint="eastAsia"/>
                <w:lang w:val="en-US" w:eastAsia="zh-CN"/>
              </w:rPr>
              <w:t>设备设施的月度巡检管理</w:t>
            </w:r>
            <w:r>
              <w:rPr>
                <w:rFonts w:hint="eastAsia"/>
                <w:lang w:eastAsia="zh-CN"/>
              </w:rPr>
              <w:t>、</w:t>
            </w:r>
            <w:r>
              <w:rPr>
                <w:rFonts w:hint="eastAsia"/>
                <w:lang w:val="en-US" w:eastAsia="zh-CN"/>
              </w:rPr>
              <w:t>月度</w:t>
            </w:r>
            <w:r>
              <w:rPr>
                <w:rFonts w:hint="eastAsia"/>
              </w:rPr>
              <w:t>维护保养及</w:t>
            </w:r>
            <w:r>
              <w:rPr>
                <w:rFonts w:hint="eastAsia"/>
                <w:lang w:val="en-US" w:eastAsia="zh-CN"/>
              </w:rPr>
              <w:t>设备、系统故障</w:t>
            </w:r>
            <w:r>
              <w:rPr>
                <w:rFonts w:hint="eastAsia"/>
              </w:rPr>
              <w:t>巡检</w:t>
            </w:r>
            <w:r>
              <w:rPr>
                <w:rFonts w:hint="eastAsia"/>
                <w:lang w:val="en-US" w:eastAsia="zh-CN"/>
              </w:rPr>
              <w:t>方案</w:t>
            </w:r>
            <w:r>
              <w:rPr>
                <w:rFonts w:hint="eastAsia"/>
              </w:rPr>
              <w:t>，具有</w:t>
            </w:r>
            <w:r>
              <w:rPr>
                <w:rFonts w:hint="eastAsia"/>
                <w:lang w:val="en-US" w:eastAsia="zh-CN"/>
              </w:rPr>
              <w:t>各类设备、系统故障维修服务</w:t>
            </w:r>
            <w:r>
              <w:rPr>
                <w:rFonts w:hint="eastAsia"/>
              </w:rPr>
              <w:t>方案</w:t>
            </w:r>
            <w:r>
              <w:rPr>
                <w:rFonts w:hint="eastAsia"/>
                <w:lang w:eastAsia="zh-CN"/>
              </w:rPr>
              <w:t>，具有收集、管理维保的相关技术资料、档案管理制度，并安排人员进行管理</w:t>
            </w:r>
            <w:r>
              <w:rPr>
                <w:rFonts w:hint="eastAsia"/>
              </w:rPr>
              <w:t>，对本项目各项设备保养计划进行详细阐述。</w:t>
            </w:r>
          </w:p>
          <w:p>
            <w:pPr>
              <w:tabs>
                <w:tab w:val="left" w:pos="312"/>
              </w:tabs>
              <w:wordWrap w:val="0"/>
              <w:spacing w:line="360" w:lineRule="auto"/>
              <w:rPr>
                <w:rFonts w:hint="eastAsia"/>
              </w:rPr>
            </w:pPr>
            <w:r>
              <w:rPr>
                <w:rFonts w:hint="eastAsia"/>
                <w:lang w:eastAsia="zh-CN"/>
              </w:rPr>
              <w:t>四</w:t>
            </w:r>
            <w:r>
              <w:rPr>
                <w:rFonts w:hint="eastAsia"/>
              </w:rPr>
              <w:t>档（</w:t>
            </w:r>
            <w:r>
              <w:rPr>
                <w:rFonts w:hint="eastAsia"/>
                <w:lang w:val="en-US" w:eastAsia="zh-CN"/>
              </w:rPr>
              <w:t>20</w:t>
            </w:r>
            <w:r>
              <w:rPr>
                <w:rFonts w:hint="eastAsia"/>
              </w:rPr>
              <w:t>分）</w:t>
            </w:r>
            <w:r>
              <w:rPr>
                <w:rFonts w:hint="eastAsia"/>
                <w:lang w:eastAsia="zh-CN"/>
              </w:rPr>
              <w:t>：</w:t>
            </w:r>
            <w:r>
              <w:rPr>
                <w:rFonts w:hint="eastAsia"/>
                <w:lang w:val="en-US" w:eastAsia="zh-CN"/>
              </w:rPr>
              <w:t>具有维保</w:t>
            </w:r>
            <w:r>
              <w:rPr>
                <w:rFonts w:hint="eastAsia"/>
              </w:rPr>
              <w:t>服务目标、</w:t>
            </w:r>
            <w:r>
              <w:rPr>
                <w:rFonts w:hint="eastAsia"/>
                <w:lang w:val="en-US" w:eastAsia="zh-CN"/>
              </w:rPr>
              <w:t>服务</w:t>
            </w:r>
            <w:r>
              <w:rPr>
                <w:rFonts w:hint="eastAsia"/>
              </w:rPr>
              <w:t>质量保障、</w:t>
            </w:r>
            <w:r>
              <w:rPr>
                <w:rFonts w:hint="eastAsia"/>
                <w:lang w:val="en-US" w:eastAsia="zh-CN"/>
              </w:rPr>
              <w:t>设备设施的月度巡检管理</w:t>
            </w:r>
            <w:r>
              <w:rPr>
                <w:rFonts w:hint="eastAsia"/>
                <w:lang w:eastAsia="zh-CN"/>
              </w:rPr>
              <w:t>、</w:t>
            </w:r>
            <w:r>
              <w:rPr>
                <w:rFonts w:hint="eastAsia"/>
                <w:lang w:val="en-US" w:eastAsia="zh-CN"/>
              </w:rPr>
              <w:t>月度</w:t>
            </w:r>
            <w:r>
              <w:rPr>
                <w:rFonts w:hint="eastAsia"/>
              </w:rPr>
              <w:t>维护保养及</w:t>
            </w:r>
            <w:r>
              <w:rPr>
                <w:rFonts w:hint="eastAsia"/>
                <w:lang w:val="en-US" w:eastAsia="zh-CN"/>
              </w:rPr>
              <w:t>设备、系统故障</w:t>
            </w:r>
            <w:r>
              <w:rPr>
                <w:rFonts w:hint="eastAsia"/>
              </w:rPr>
              <w:t>巡检</w:t>
            </w:r>
            <w:r>
              <w:rPr>
                <w:rFonts w:hint="eastAsia"/>
                <w:lang w:val="en-US" w:eastAsia="zh-CN"/>
              </w:rPr>
              <w:t>方案</w:t>
            </w:r>
            <w:r>
              <w:rPr>
                <w:rFonts w:hint="eastAsia"/>
              </w:rPr>
              <w:t>，具有</w:t>
            </w:r>
            <w:r>
              <w:rPr>
                <w:rFonts w:hint="eastAsia"/>
                <w:lang w:val="en-US" w:eastAsia="zh-CN"/>
              </w:rPr>
              <w:t>各类设备、系统维修服务</w:t>
            </w:r>
            <w:r>
              <w:rPr>
                <w:rFonts w:hint="eastAsia"/>
              </w:rPr>
              <w:t>方案</w:t>
            </w:r>
            <w:r>
              <w:rPr>
                <w:rFonts w:hint="eastAsia"/>
                <w:lang w:eastAsia="zh-CN"/>
              </w:rPr>
              <w:t>，具有收集、管理维保的相关技术资料、档案管理制度，并安排资料、档案专职管理人员</w:t>
            </w:r>
            <w:r>
              <w:rPr>
                <w:rFonts w:hint="eastAsia"/>
              </w:rPr>
              <w:t>，对本项目各项设备保养计划进行详细阐述</w:t>
            </w:r>
            <w:r>
              <w:rPr>
                <w:rFonts w:hint="eastAsia"/>
                <w:lang w:eastAsia="zh-CN"/>
              </w:rPr>
              <w:t>，</w:t>
            </w:r>
            <w:r>
              <w:rPr>
                <w:rFonts w:hint="eastAsia"/>
                <w:lang w:val="en-US" w:eastAsia="zh-CN"/>
              </w:rPr>
              <w:t>有维保工作程序和步骤、</w:t>
            </w:r>
            <w:r>
              <w:rPr>
                <w:rFonts w:hint="eastAsia"/>
              </w:rPr>
              <w:t>管理和协调方法。</w:t>
            </w:r>
          </w:p>
          <w:p>
            <w:pPr>
              <w:pStyle w:val="2"/>
              <w:rPr>
                <w:rFonts w:hint="default" w:eastAsia="宋体"/>
                <w:lang w:val="en-US" w:eastAsia="zh-CN"/>
              </w:rPr>
            </w:pPr>
            <w:r>
              <w:rPr>
                <w:rFonts w:hint="eastAsia" w:ascii="宋体" w:hAnsi="宋体" w:eastAsia="宋体" w:cs="宋体"/>
                <w:sz w:val="22"/>
                <w:szCs w:val="22"/>
                <w:lang w:val="en-US" w:eastAsia="zh-CN" w:bidi="ar-SA"/>
              </w:rPr>
              <w:t>注：未提供维保项目实施方案不得分。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4</w:t>
            </w:r>
          </w:p>
        </w:tc>
        <w:tc>
          <w:tcPr>
            <w:tcW w:w="1936" w:type="dxa"/>
            <w:shd w:val="clear" w:color="auto" w:fill="auto"/>
            <w:vAlign w:val="center"/>
          </w:tcPr>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故障响应及应急方案</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highlight w:val="none"/>
                <w:lang w:val="en-US" w:eastAsia="zh-CN"/>
              </w:rPr>
              <w:t>（2</w:t>
            </w:r>
            <w:r>
              <w:rPr>
                <w:rFonts w:hint="eastAsia" w:cs="宋体"/>
                <w:b/>
                <w:bCs/>
                <w:color w:val="auto"/>
                <w:highlight w:val="none"/>
                <w:lang w:val="en-US" w:eastAsia="zh-CN"/>
              </w:rPr>
              <w:t>0</w:t>
            </w:r>
            <w:r>
              <w:rPr>
                <w:rFonts w:hint="eastAsia" w:ascii="宋体" w:hAnsi="宋体" w:eastAsia="宋体" w:cs="宋体"/>
                <w:b/>
                <w:bCs/>
                <w:color w:val="auto"/>
                <w:highlight w:val="none"/>
                <w:lang w:val="en-US" w:eastAsia="zh-CN"/>
              </w:rPr>
              <w:t>分）</w:t>
            </w:r>
          </w:p>
        </w:tc>
        <w:tc>
          <w:tcPr>
            <w:tcW w:w="7254" w:type="dxa"/>
            <w:shd w:val="clear" w:color="auto" w:fill="auto"/>
          </w:tcPr>
          <w:p>
            <w:pPr>
              <w:spacing w:line="440" w:lineRule="exact"/>
              <w:jc w:val="left"/>
              <w:rPr>
                <w:rFonts w:hint="eastAsia"/>
                <w:lang w:val="en-US" w:eastAsia="zh-CN"/>
              </w:rPr>
            </w:pPr>
            <w:r>
              <w:rPr>
                <w:rFonts w:hint="eastAsia"/>
                <w:lang w:eastAsia="zh-CN"/>
              </w:rPr>
              <w:t>一</w:t>
            </w:r>
            <w:r>
              <w:rPr>
                <w:rFonts w:hint="eastAsia"/>
              </w:rPr>
              <w:t>档（</w:t>
            </w:r>
            <w:r>
              <w:rPr>
                <w:rFonts w:hint="eastAsia"/>
                <w:lang w:val="en-US" w:eastAsia="zh-CN"/>
              </w:rPr>
              <w:t>10</w:t>
            </w:r>
            <w:r>
              <w:rPr>
                <w:rFonts w:hint="eastAsia"/>
              </w:rPr>
              <w:t>分）：</w:t>
            </w:r>
            <w:r>
              <w:rPr>
                <w:rFonts w:hint="eastAsia"/>
                <w:lang w:val="en-US" w:eastAsia="zh-CN"/>
              </w:rPr>
              <w:t>具有针对本项目的总体故障响应及应急处理计划及解决措施</w:t>
            </w:r>
            <w:r>
              <w:rPr>
                <w:rFonts w:hint="eastAsia"/>
                <w:lang w:eastAsia="zh-CN"/>
              </w:rPr>
              <w:t>、</w:t>
            </w:r>
            <w:r>
              <w:rPr>
                <w:rFonts w:hint="eastAsia"/>
                <w:lang w:val="en-US" w:eastAsia="zh-CN"/>
              </w:rPr>
              <w:t>出现突发故障的应急防控措施。</w:t>
            </w:r>
          </w:p>
          <w:p>
            <w:pPr>
              <w:spacing w:line="440" w:lineRule="exact"/>
              <w:jc w:val="left"/>
              <w:rPr>
                <w:rFonts w:hint="eastAsia"/>
                <w:lang w:val="en-US"/>
              </w:rPr>
            </w:pPr>
            <w:r>
              <w:rPr>
                <w:rFonts w:hint="eastAsia"/>
                <w:lang w:eastAsia="zh-CN"/>
              </w:rPr>
              <w:t>二</w:t>
            </w:r>
            <w:r>
              <w:rPr>
                <w:rFonts w:hint="eastAsia"/>
              </w:rPr>
              <w:t>档（</w:t>
            </w:r>
            <w:r>
              <w:rPr>
                <w:rFonts w:hint="eastAsia"/>
                <w:lang w:val="en-US" w:eastAsia="zh-CN"/>
              </w:rPr>
              <w:t>15</w:t>
            </w:r>
            <w:r>
              <w:rPr>
                <w:rFonts w:hint="eastAsia"/>
              </w:rPr>
              <w:t>分）：</w:t>
            </w:r>
            <w:r>
              <w:rPr>
                <w:rFonts w:hint="eastAsia"/>
                <w:lang w:val="en-US" w:eastAsia="zh-CN"/>
              </w:rPr>
              <w:t>具有针对本项目的总体故障响应及应急处理计划及解决措施</w:t>
            </w:r>
            <w:r>
              <w:rPr>
                <w:rFonts w:hint="eastAsia"/>
                <w:lang w:eastAsia="zh-CN"/>
              </w:rPr>
              <w:t>、</w:t>
            </w:r>
            <w:r>
              <w:rPr>
                <w:rFonts w:hint="eastAsia"/>
                <w:lang w:val="en-US" w:eastAsia="zh-CN"/>
              </w:rPr>
              <w:t>出现突发故障的应急防控措施，包含零配件故障更换方案、设备故障处理方案，在设备修复期间须提供解决方案，保证各设备运行做到无缝对接。</w:t>
            </w:r>
          </w:p>
          <w:p>
            <w:pPr>
              <w:tabs>
                <w:tab w:val="left" w:pos="312"/>
              </w:tabs>
              <w:wordWrap w:val="0"/>
              <w:spacing w:line="360" w:lineRule="auto"/>
              <w:rPr>
                <w:rFonts w:hint="eastAsia"/>
                <w:lang w:val="en-US" w:eastAsia="zh-CN"/>
              </w:rPr>
            </w:pPr>
            <w:r>
              <w:rPr>
                <w:rFonts w:hint="eastAsia"/>
                <w:lang w:eastAsia="zh-CN"/>
              </w:rPr>
              <w:t>三</w:t>
            </w:r>
            <w:r>
              <w:rPr>
                <w:rFonts w:hint="eastAsia"/>
              </w:rPr>
              <w:t>档（</w:t>
            </w:r>
            <w:r>
              <w:rPr>
                <w:rFonts w:hint="eastAsia"/>
                <w:lang w:val="en-US" w:eastAsia="zh-CN"/>
              </w:rPr>
              <w:t>20</w:t>
            </w:r>
            <w:r>
              <w:rPr>
                <w:rFonts w:hint="eastAsia"/>
              </w:rPr>
              <w:t>分）：</w:t>
            </w:r>
            <w:r>
              <w:rPr>
                <w:rFonts w:hint="eastAsia"/>
                <w:lang w:val="en-US" w:eastAsia="zh-CN"/>
              </w:rPr>
              <w:t>具有针对本项目的总体故障响应及应急处理计划及解决措施</w:t>
            </w:r>
            <w:r>
              <w:rPr>
                <w:rFonts w:hint="eastAsia"/>
                <w:lang w:eastAsia="zh-CN"/>
              </w:rPr>
              <w:t>、</w:t>
            </w:r>
            <w:r>
              <w:rPr>
                <w:rFonts w:hint="eastAsia"/>
                <w:lang w:val="en-US" w:eastAsia="zh-CN"/>
              </w:rPr>
              <w:t>出现突发故障的应急防控措施，包含零配件故障更换方案、设备故障处理方案，在设备修复期间须提供解决方案，保证各设备运行做到无缝对接，具有应急人员安排，具有日常紧急故障处理流程、方式、方法，设置有应急团队，配置有机动人员用于对突发紧急事件的处理，保证运维人员充足。</w:t>
            </w:r>
          </w:p>
          <w:p>
            <w:pPr>
              <w:pStyle w:val="2"/>
              <w:rPr>
                <w:rFonts w:hint="eastAsia"/>
                <w:lang w:eastAsia="zh-CN"/>
              </w:rPr>
            </w:pPr>
            <w:r>
              <w:rPr>
                <w:rFonts w:hint="eastAsia" w:ascii="宋体" w:hAnsi="宋体" w:eastAsia="宋体" w:cs="宋体"/>
                <w:color w:val="auto"/>
                <w:sz w:val="21"/>
                <w:szCs w:val="21"/>
                <w:highlight w:val="none"/>
                <w:lang w:val="en-US" w:eastAsia="zh-CN"/>
              </w:rPr>
              <w:t>注：未提供故障响应及应急方案不得分。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default" w:cs="宋体"/>
                <w:color w:val="auto"/>
                <w:szCs w:val="21"/>
                <w:lang w:val="en-US" w:eastAsia="zh-CN"/>
              </w:rPr>
            </w:pPr>
            <w:r>
              <w:rPr>
                <w:rFonts w:hint="eastAsia" w:cs="宋体"/>
                <w:color w:val="auto"/>
                <w:szCs w:val="21"/>
                <w:lang w:val="en-US" w:eastAsia="zh-CN"/>
              </w:rPr>
              <w:t>5</w:t>
            </w:r>
          </w:p>
        </w:tc>
        <w:tc>
          <w:tcPr>
            <w:tcW w:w="1936" w:type="dxa"/>
            <w:shd w:val="clear" w:color="auto" w:fill="auto"/>
            <w:vAlign w:val="center"/>
          </w:tcPr>
          <w:p>
            <w:pPr>
              <w:wordWrap w:val="0"/>
              <w:spacing w:line="360" w:lineRule="auto"/>
              <w:jc w:val="center"/>
              <w:rPr>
                <w:rFonts w:hint="eastAsia" w:cs="宋体"/>
                <w:b/>
                <w:bCs/>
                <w:color w:val="auto"/>
                <w:highlight w:val="none"/>
                <w:lang w:val="en-US" w:eastAsia="zh-CN"/>
              </w:rPr>
            </w:pPr>
            <w:r>
              <w:rPr>
                <w:rFonts w:hint="eastAsia" w:cs="宋体"/>
                <w:b/>
                <w:bCs/>
                <w:color w:val="auto"/>
                <w:highlight w:val="none"/>
                <w:lang w:val="en-US" w:eastAsia="zh-CN"/>
              </w:rPr>
              <w:t>响应时间方案</w:t>
            </w:r>
          </w:p>
          <w:p>
            <w:pPr>
              <w:wordWrap w:val="0"/>
              <w:spacing w:line="360" w:lineRule="auto"/>
              <w:jc w:val="center"/>
              <w:rPr>
                <w:rFonts w:hint="eastAsia" w:ascii="宋体" w:hAnsi="宋体" w:eastAsia="宋体" w:cs="宋体"/>
                <w:b/>
                <w:bCs/>
                <w:color w:val="auto"/>
                <w:highlight w:val="none"/>
                <w:lang w:val="en-US" w:eastAsia="zh-CN"/>
              </w:rPr>
            </w:pPr>
            <w:r>
              <w:rPr>
                <w:rFonts w:hint="eastAsia" w:cs="宋体"/>
                <w:b/>
                <w:bCs/>
                <w:color w:val="auto"/>
                <w:highlight w:val="none"/>
                <w:lang w:val="en-US" w:eastAsia="zh-CN"/>
              </w:rPr>
              <w:t>（15分）</w:t>
            </w:r>
          </w:p>
        </w:tc>
        <w:tc>
          <w:tcPr>
            <w:tcW w:w="7254" w:type="dxa"/>
            <w:shd w:val="clear" w:color="auto" w:fill="auto"/>
          </w:tcPr>
          <w:p>
            <w:pPr>
              <w:pStyle w:val="2"/>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未提供响应时间方案不得分。</w:t>
            </w:r>
          </w:p>
          <w:p>
            <w:pPr>
              <w:pStyle w:val="2"/>
              <w:rPr>
                <w:rFonts w:hint="default" w:ascii="宋体" w:hAnsi="宋体" w:eastAsia="宋体" w:cs="宋体"/>
                <w:sz w:val="22"/>
                <w:szCs w:val="22"/>
                <w:lang w:val="en-US" w:eastAsia="zh-CN" w:bidi="ar-SA"/>
              </w:rPr>
            </w:pPr>
            <w:r>
              <w:rPr>
                <w:rFonts w:hint="eastAsia" w:ascii="宋体" w:hAnsi="宋体" w:eastAsia="宋体" w:cs="宋体"/>
                <w:sz w:val="22"/>
                <w:szCs w:val="22"/>
                <w:lang w:val="en-US" w:eastAsia="zh-CN" w:bidi="ar-SA"/>
              </w:rPr>
              <w:t>一档（5分）：响应时间方案接到故障通知后，一般故障时，1小时内响应，12小时内到达现场处理。紧急故障时，半小时内响应，6小时内到达现场处理，故障现场解决时间降低到2小时以内。</w:t>
            </w:r>
          </w:p>
          <w:p>
            <w:pPr>
              <w:pStyle w:val="2"/>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二档（10分）：响应时间方案接到故障通知后，一般故障时，1小时内响应，</w:t>
            </w:r>
            <w:r>
              <w:rPr>
                <w:rFonts w:hint="eastAsia" w:cs="宋体"/>
                <w:sz w:val="22"/>
                <w:szCs w:val="22"/>
                <w:lang w:val="en-US" w:eastAsia="zh-CN" w:bidi="ar-SA"/>
              </w:rPr>
              <w:t>10</w:t>
            </w:r>
            <w:r>
              <w:rPr>
                <w:rFonts w:hint="eastAsia" w:ascii="宋体" w:hAnsi="宋体" w:eastAsia="宋体" w:cs="宋体"/>
                <w:sz w:val="22"/>
                <w:szCs w:val="22"/>
                <w:lang w:val="en-US" w:eastAsia="zh-CN" w:bidi="ar-SA"/>
              </w:rPr>
              <w:t>小时内到达现场处理。紧急故障时，半小时内响应，</w:t>
            </w:r>
            <w:r>
              <w:rPr>
                <w:rFonts w:hint="eastAsia" w:cs="宋体"/>
                <w:sz w:val="22"/>
                <w:szCs w:val="22"/>
                <w:lang w:val="en-US" w:eastAsia="zh-CN" w:bidi="ar-SA"/>
              </w:rPr>
              <w:t>5</w:t>
            </w:r>
            <w:r>
              <w:rPr>
                <w:rFonts w:hint="eastAsia" w:ascii="宋体" w:hAnsi="宋体" w:eastAsia="宋体" w:cs="宋体"/>
                <w:sz w:val="22"/>
                <w:szCs w:val="22"/>
                <w:lang w:val="en-US" w:eastAsia="zh-CN" w:bidi="ar-SA"/>
              </w:rPr>
              <w:t>小时内到达现场处理，故障现场解决时间降低到2小时以内。</w:t>
            </w:r>
          </w:p>
          <w:p>
            <w:pPr>
              <w:pStyle w:val="2"/>
              <w:rPr>
                <w:rFonts w:hint="eastAsia"/>
                <w:lang w:val="en-US" w:eastAsia="zh-CN"/>
              </w:rPr>
            </w:pPr>
            <w:r>
              <w:rPr>
                <w:rFonts w:hint="eastAsia" w:ascii="宋体" w:hAnsi="宋体" w:eastAsia="宋体" w:cs="宋体"/>
                <w:sz w:val="22"/>
                <w:szCs w:val="22"/>
                <w:lang w:val="en-US" w:eastAsia="zh-CN" w:bidi="ar-SA"/>
              </w:rPr>
              <w:t>三档（15分）：响应时间方案接到故障通知后，一般故障时，1小时内响应，</w:t>
            </w:r>
            <w:r>
              <w:rPr>
                <w:rFonts w:hint="eastAsia" w:cs="宋体"/>
                <w:sz w:val="22"/>
                <w:szCs w:val="22"/>
                <w:lang w:val="en-US" w:eastAsia="zh-CN" w:bidi="ar-SA"/>
              </w:rPr>
              <w:t>8</w:t>
            </w:r>
            <w:r>
              <w:rPr>
                <w:rFonts w:hint="eastAsia" w:ascii="宋体" w:hAnsi="宋体" w:eastAsia="宋体" w:cs="宋体"/>
                <w:sz w:val="22"/>
                <w:szCs w:val="22"/>
                <w:lang w:val="en-US" w:eastAsia="zh-CN" w:bidi="ar-SA"/>
              </w:rPr>
              <w:t>小时内到达现场处理。紧急故障时，半小时内响应，</w:t>
            </w:r>
            <w:r>
              <w:rPr>
                <w:rFonts w:hint="eastAsia" w:cs="宋体"/>
                <w:sz w:val="22"/>
                <w:szCs w:val="22"/>
                <w:lang w:val="en-US" w:eastAsia="zh-CN" w:bidi="ar-SA"/>
              </w:rPr>
              <w:t>4</w:t>
            </w:r>
            <w:r>
              <w:rPr>
                <w:rFonts w:hint="eastAsia" w:ascii="宋体" w:hAnsi="宋体" w:eastAsia="宋体" w:cs="宋体"/>
                <w:sz w:val="22"/>
                <w:szCs w:val="22"/>
                <w:lang w:val="en-US" w:eastAsia="zh-CN" w:bidi="ar-SA"/>
              </w:rPr>
              <w:t>小时内到达现场处理，故障现场解决时间降低到2小时以内。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6</w:t>
            </w:r>
          </w:p>
        </w:tc>
        <w:tc>
          <w:tcPr>
            <w:tcW w:w="1936" w:type="dxa"/>
            <w:shd w:val="clear" w:color="auto" w:fill="auto"/>
            <w:vAlign w:val="center"/>
          </w:tcPr>
          <w:p>
            <w:pPr>
              <w:wordWrap w:val="0"/>
              <w:spacing w:line="360" w:lineRule="auto"/>
              <w:jc w:val="center"/>
              <w:rPr>
                <w:rFonts w:hint="eastAsia" w:eastAsia="宋体"/>
                <w:color w:val="auto"/>
                <w:lang w:eastAsia="zh-CN"/>
              </w:rPr>
            </w:pPr>
            <w:r>
              <w:rPr>
                <w:rFonts w:hint="eastAsia" w:eastAsia="宋体"/>
                <w:b/>
                <w:bCs/>
                <w:color w:val="auto"/>
                <w:lang w:eastAsia="zh-CN"/>
              </w:rPr>
              <w:t>拟投入人员管理方案（</w:t>
            </w:r>
            <w:r>
              <w:rPr>
                <w:rFonts w:hint="eastAsia"/>
                <w:b/>
                <w:bCs/>
                <w:color w:val="auto"/>
                <w:lang w:val="en-US" w:eastAsia="zh-CN"/>
              </w:rPr>
              <w:t>10</w:t>
            </w:r>
            <w:r>
              <w:rPr>
                <w:rFonts w:hint="eastAsia" w:eastAsia="宋体"/>
                <w:b/>
                <w:bCs/>
                <w:color w:val="auto"/>
                <w:lang w:eastAsia="zh-CN"/>
              </w:rPr>
              <w:t>分）</w:t>
            </w:r>
          </w:p>
        </w:tc>
        <w:tc>
          <w:tcPr>
            <w:tcW w:w="7254" w:type="dxa"/>
            <w:shd w:val="clear" w:color="auto" w:fill="auto"/>
          </w:tcPr>
          <w:p>
            <w:pPr>
              <w:tabs>
                <w:tab w:val="left" w:pos="312"/>
              </w:tabs>
              <w:wordWrap w:val="0"/>
              <w:spacing w:line="360" w:lineRule="auto"/>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eastAsia="zh-CN"/>
              </w:rPr>
              <w:t>一档（</w:t>
            </w:r>
            <w:r>
              <w:rPr>
                <w:rFonts w:hint="eastAsia" w:cs="宋体"/>
                <w:b w:val="0"/>
                <w:bCs w:val="0"/>
                <w:color w:val="auto"/>
                <w:szCs w:val="21"/>
                <w:lang w:val="en-US" w:eastAsia="zh-CN"/>
              </w:rPr>
              <w:t>4</w:t>
            </w:r>
            <w:r>
              <w:rPr>
                <w:rFonts w:hint="eastAsia" w:ascii="宋体" w:hAnsi="宋体" w:eastAsia="宋体" w:cs="宋体"/>
                <w:b w:val="0"/>
                <w:bCs w:val="0"/>
                <w:color w:val="auto"/>
                <w:szCs w:val="21"/>
                <w:lang w:eastAsia="zh-CN"/>
              </w:rPr>
              <w:t>分）：磋商响应文件中提供管理规章制度及岗位规范化方案。</w:t>
            </w:r>
          </w:p>
          <w:p>
            <w:pPr>
              <w:tabs>
                <w:tab w:val="left" w:pos="312"/>
              </w:tabs>
              <w:wordWrap w:val="0"/>
              <w:spacing w:line="360" w:lineRule="auto"/>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eastAsia="zh-CN"/>
              </w:rPr>
              <w:t>二档（</w:t>
            </w:r>
            <w:r>
              <w:rPr>
                <w:rFonts w:hint="eastAsia" w:cs="宋体"/>
                <w:b w:val="0"/>
                <w:bCs w:val="0"/>
                <w:color w:val="auto"/>
                <w:szCs w:val="21"/>
                <w:lang w:val="en-US" w:eastAsia="zh-CN"/>
              </w:rPr>
              <w:t>7</w:t>
            </w:r>
            <w:r>
              <w:rPr>
                <w:rFonts w:hint="eastAsia" w:ascii="宋体" w:hAnsi="宋体" w:eastAsia="宋体" w:cs="宋体"/>
                <w:b w:val="0"/>
                <w:bCs w:val="0"/>
                <w:color w:val="auto"/>
                <w:szCs w:val="21"/>
                <w:lang w:eastAsia="zh-CN"/>
              </w:rPr>
              <w:t>分）：制定有人员岗位规划安排表，具有项目各岗位工作职责，有明确的技术管理架构。</w:t>
            </w:r>
          </w:p>
          <w:p>
            <w:pPr>
              <w:tabs>
                <w:tab w:val="left" w:pos="312"/>
              </w:tabs>
              <w:wordWrap w:val="0"/>
              <w:spacing w:line="360" w:lineRule="auto"/>
              <w:rPr>
                <w:rFonts w:hint="eastAsia" w:ascii="宋体" w:hAnsi="宋体" w:eastAsia="宋体" w:cs="宋体"/>
                <w:b/>
                <w:bCs/>
                <w:color w:val="auto"/>
                <w:szCs w:val="21"/>
                <w:lang w:eastAsia="zh-CN"/>
              </w:rPr>
            </w:pPr>
            <w:r>
              <w:rPr>
                <w:rFonts w:hint="eastAsia" w:ascii="宋体" w:hAnsi="宋体" w:eastAsia="宋体" w:cs="宋体"/>
                <w:b w:val="0"/>
                <w:bCs w:val="0"/>
                <w:color w:val="auto"/>
                <w:szCs w:val="21"/>
                <w:lang w:eastAsia="zh-CN"/>
              </w:rPr>
              <w:t>三档（</w:t>
            </w:r>
            <w:r>
              <w:rPr>
                <w:rFonts w:hint="eastAsia" w:cs="宋体"/>
                <w:b w:val="0"/>
                <w:bCs w:val="0"/>
                <w:color w:val="auto"/>
                <w:szCs w:val="21"/>
                <w:lang w:val="en-US" w:eastAsia="zh-CN"/>
              </w:rPr>
              <w:t>10</w:t>
            </w:r>
            <w:r>
              <w:rPr>
                <w:rFonts w:hint="eastAsia" w:ascii="宋体" w:hAnsi="宋体" w:eastAsia="宋体" w:cs="宋体"/>
                <w:b w:val="0"/>
                <w:bCs w:val="0"/>
                <w:color w:val="auto"/>
                <w:szCs w:val="21"/>
                <w:lang w:eastAsia="zh-CN"/>
              </w:rPr>
              <w:t>分）：制定有人员岗位规划安排表，具有项目各岗位工作职责，有明确的技术管理架构，并制定各项工作人员巡检、维护安排表。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7</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项目业绩分</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tabs>
                <w:tab w:val="left" w:pos="312"/>
              </w:tabs>
              <w:wordWrap w:val="0"/>
              <w:spacing w:line="360" w:lineRule="auto"/>
              <w:rPr>
                <w:rFonts w:hint="eastAsia"/>
                <w:color w:val="auto"/>
                <w:szCs w:val="21"/>
              </w:rPr>
            </w:pPr>
            <w:r>
              <w:rPr>
                <w:rFonts w:hint="eastAsia" w:ascii="宋体" w:hAnsi="宋体" w:cs="宋体"/>
                <w:color w:val="auto"/>
                <w:kern w:val="0"/>
                <w:szCs w:val="21"/>
              </w:rPr>
              <w:t>供应商自</w:t>
            </w:r>
            <w:r>
              <w:rPr>
                <w:rFonts w:ascii="宋体" w:hAnsi="宋体" w:cs="宋体"/>
                <w:color w:val="auto"/>
                <w:kern w:val="0"/>
                <w:szCs w:val="21"/>
              </w:rPr>
              <w:t>202</w:t>
            </w:r>
            <w:r>
              <w:rPr>
                <w:rFonts w:hint="eastAsia" w:ascii="宋体" w:hAnsi="宋体" w:cs="宋体"/>
                <w:color w:val="auto"/>
                <w:kern w:val="0"/>
                <w:szCs w:val="21"/>
                <w:lang w:val="en-US" w:eastAsia="zh-CN"/>
              </w:rPr>
              <w:t>1</w:t>
            </w:r>
            <w:r>
              <w:rPr>
                <w:rFonts w:hint="eastAsia" w:ascii="宋体" w:hAnsi="宋体" w:cs="宋体"/>
                <w:color w:val="auto"/>
                <w:kern w:val="0"/>
                <w:szCs w:val="21"/>
              </w:rPr>
              <w:t>年</w:t>
            </w:r>
            <w:r>
              <w:rPr>
                <w:rFonts w:ascii="宋体" w:hAnsi="宋体" w:cs="宋体"/>
                <w:color w:val="auto"/>
                <w:kern w:val="0"/>
                <w:szCs w:val="21"/>
              </w:rPr>
              <w:t>1</w:t>
            </w:r>
            <w:r>
              <w:rPr>
                <w:rFonts w:hint="eastAsia" w:ascii="宋体" w:hAnsi="宋体" w:cs="宋体"/>
                <w:color w:val="auto"/>
                <w:kern w:val="0"/>
                <w:szCs w:val="21"/>
                <w:lang w:val="en-US" w:eastAsia="zh-CN"/>
              </w:rPr>
              <w:t>0</w:t>
            </w:r>
            <w:r>
              <w:rPr>
                <w:rFonts w:hint="eastAsia" w:ascii="宋体" w:hAnsi="宋体" w:cs="宋体"/>
                <w:color w:val="auto"/>
                <w:kern w:val="0"/>
                <w:szCs w:val="21"/>
              </w:rPr>
              <w:t>月</w:t>
            </w:r>
            <w:r>
              <w:rPr>
                <w:rFonts w:ascii="宋体" w:hAnsi="宋体" w:cs="宋体"/>
                <w:color w:val="auto"/>
                <w:kern w:val="0"/>
                <w:szCs w:val="21"/>
              </w:rPr>
              <w:t>1</w:t>
            </w:r>
            <w:r>
              <w:rPr>
                <w:rFonts w:hint="eastAsia" w:ascii="宋体" w:hAnsi="宋体" w:cs="宋体"/>
                <w:color w:val="auto"/>
                <w:kern w:val="0"/>
                <w:szCs w:val="21"/>
              </w:rPr>
              <w:t>日以来承接同类型项目业绩的，每个项目得</w:t>
            </w:r>
            <w:r>
              <w:rPr>
                <w:rFonts w:hint="eastAsia" w:ascii="宋体" w:hAnsi="宋体" w:cs="宋体"/>
                <w:color w:val="auto"/>
                <w:kern w:val="0"/>
                <w:szCs w:val="21"/>
                <w:lang w:val="en-US" w:eastAsia="zh-CN"/>
              </w:rPr>
              <w:t>1</w:t>
            </w:r>
            <w:r>
              <w:rPr>
                <w:rFonts w:hint="eastAsia" w:ascii="宋体" w:hAnsi="宋体" w:cs="宋体"/>
                <w:color w:val="auto"/>
                <w:kern w:val="0"/>
                <w:szCs w:val="21"/>
              </w:rPr>
              <w:t>分，满分</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ascii="宋体" w:hAnsi="宋体" w:cs="宋体"/>
                <w:color w:val="auto"/>
                <w:kern w:val="0"/>
                <w:szCs w:val="21"/>
              </w:rPr>
              <w:t>[</w:t>
            </w:r>
            <w:r>
              <w:rPr>
                <w:rFonts w:hint="eastAsia" w:ascii="宋体" w:hAnsi="宋体" w:cs="宋体"/>
                <w:color w:val="auto"/>
                <w:kern w:val="0"/>
                <w:szCs w:val="21"/>
              </w:rPr>
              <w:t>以合同或中标（成交）通知书原件的扫描件为准，并加盖供应商公章</w:t>
            </w:r>
            <w:r>
              <w:rPr>
                <w:rFonts w:ascii="宋体" w:hAnsi="宋体" w:cs="宋体"/>
                <w:color w:val="auto"/>
                <w:kern w:val="0"/>
                <w:szCs w:val="21"/>
              </w:rPr>
              <w:t>]</w:t>
            </w:r>
          </w:p>
        </w:tc>
      </w:tr>
    </w:tbl>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8"/>
        <w:rPr>
          <w:b/>
          <w:bCs/>
          <w:color w:val="auto"/>
          <w:sz w:val="33"/>
          <w:highlight w:val="none"/>
        </w:rPr>
      </w:pPr>
    </w:p>
    <w:p>
      <w:pPr>
        <w:pStyle w:val="8"/>
        <w:numPr>
          <w:ilvl w:val="0"/>
          <w:numId w:val="6"/>
        </w:numPr>
        <w:ind w:left="541"/>
        <w:rPr>
          <w:b/>
          <w:bCs/>
          <w:color w:val="auto"/>
          <w:spacing w:val="2"/>
          <w:highlight w:val="none"/>
        </w:rPr>
      </w:pPr>
      <w:r>
        <w:rPr>
          <w:b/>
          <w:bCs/>
          <w:color w:val="auto"/>
          <w:spacing w:val="2"/>
          <w:highlight w:val="none"/>
        </w:rPr>
        <w:t>采购标的</w:t>
      </w:r>
    </w:p>
    <w:p>
      <w:pPr>
        <w:pStyle w:val="8"/>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3"/>
        <w:tblW w:w="0" w:type="auto"/>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4302"/>
        <w:gridCol w:w="2304"/>
        <w:gridCol w:w="1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28" w:type="dxa"/>
          </w:tcPr>
          <w:p>
            <w:pPr>
              <w:pStyle w:val="19"/>
              <w:spacing w:before="136"/>
              <w:ind w:left="129" w:right="125"/>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包号</w:t>
            </w:r>
          </w:p>
        </w:tc>
        <w:tc>
          <w:tcPr>
            <w:tcW w:w="4302" w:type="dxa"/>
          </w:tcPr>
          <w:p>
            <w:pPr>
              <w:pStyle w:val="19"/>
              <w:spacing w:before="136"/>
              <w:ind w:left="358" w:firstLine="880" w:firstLineChars="4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标的名称</w:t>
            </w:r>
          </w:p>
        </w:tc>
        <w:tc>
          <w:tcPr>
            <w:tcW w:w="2304" w:type="dxa"/>
          </w:tcPr>
          <w:p>
            <w:pPr>
              <w:pStyle w:val="19"/>
              <w:spacing w:before="1"/>
              <w:ind w:left="95" w:right="8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采购包预算金额</w:t>
            </w:r>
          </w:p>
          <w:p>
            <w:pPr>
              <w:pStyle w:val="19"/>
              <w:spacing w:before="3" w:line="251" w:lineRule="exact"/>
              <w:ind w:left="92"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rPr>
              <w:t>（万元）</w:t>
            </w:r>
          </w:p>
        </w:tc>
        <w:tc>
          <w:tcPr>
            <w:tcW w:w="1826" w:type="dxa"/>
          </w:tcPr>
          <w:p>
            <w:pPr>
              <w:pStyle w:val="19"/>
              <w:spacing w:before="136"/>
              <w:ind w:left="287"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28" w:type="dxa"/>
          </w:tcPr>
          <w:p>
            <w:pPr>
              <w:pStyle w:val="19"/>
              <w:spacing w:before="88"/>
              <w:ind w:left="129" w:right="12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w w:val="115"/>
                <w:sz w:val="22"/>
                <w:szCs w:val="22"/>
              </w:rPr>
              <w:t>01</w:t>
            </w:r>
          </w:p>
        </w:tc>
        <w:tc>
          <w:tcPr>
            <w:tcW w:w="4302" w:type="dxa"/>
            <w:vAlign w:val="center"/>
          </w:tcPr>
          <w:p>
            <w:pPr>
              <w:pStyle w:val="19"/>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lang w:val="en-US" w:eastAsia="zh-CN"/>
              </w:rPr>
              <w:t>北海市妇幼保健院2025-2026年安防维保服务</w:t>
            </w:r>
          </w:p>
        </w:tc>
        <w:tc>
          <w:tcPr>
            <w:tcW w:w="2304" w:type="dxa"/>
            <w:vAlign w:val="center"/>
          </w:tcPr>
          <w:p>
            <w:pPr>
              <w:pStyle w:val="19"/>
              <w:jc w:val="center"/>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7.8</w:t>
            </w:r>
          </w:p>
        </w:tc>
        <w:tc>
          <w:tcPr>
            <w:tcW w:w="1826" w:type="dxa"/>
            <w:vAlign w:val="center"/>
          </w:tcPr>
          <w:p>
            <w:pPr>
              <w:pStyle w:val="19"/>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1项</w:t>
            </w:r>
          </w:p>
        </w:tc>
      </w:tr>
    </w:tbl>
    <w:p>
      <w:pPr>
        <w:pStyle w:val="8"/>
        <w:numPr>
          <w:ilvl w:val="0"/>
          <w:numId w:val="6"/>
        </w:numPr>
        <w:spacing w:before="219"/>
        <w:ind w:left="541" w:leftChars="0" w:firstLine="0" w:firstLineChars="0"/>
        <w:rPr>
          <w:rFonts w:hint="eastAsia" w:asciiTheme="minorEastAsia" w:hAnsiTheme="minorEastAsia" w:eastAsiaTheme="minorEastAsia" w:cstheme="minorEastAsia"/>
          <w:b/>
          <w:bCs/>
          <w:color w:val="auto"/>
          <w:spacing w:val="2"/>
          <w:sz w:val="22"/>
          <w:szCs w:val="22"/>
          <w:lang w:eastAsia="zh-CN"/>
        </w:rPr>
      </w:pPr>
      <w:r>
        <w:rPr>
          <w:rFonts w:hint="eastAsia" w:asciiTheme="minorEastAsia" w:hAnsiTheme="minorEastAsia" w:eastAsiaTheme="minorEastAsia" w:cstheme="minorEastAsia"/>
          <w:b/>
          <w:color w:val="auto"/>
          <w:sz w:val="22"/>
          <w:szCs w:val="22"/>
          <w:highlight w:val="none"/>
        </w:rPr>
        <w:t>项目要求及技术需求</w:t>
      </w:r>
    </w:p>
    <w:tbl>
      <w:tblPr>
        <w:tblStyle w:val="13"/>
        <w:tblpPr w:leftFromText="180" w:rightFromText="180" w:vertAnchor="text" w:horzAnchor="page" w:tblpX="1743" w:tblpY="343"/>
        <w:tblOverlap w:val="never"/>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9" w:hRule="atLeast"/>
        </w:trPr>
        <w:tc>
          <w:tcPr>
            <w:tcW w:w="9048" w:type="dxa"/>
            <w:tcMar>
              <w:top w:w="13" w:type="dxa"/>
              <w:left w:w="57" w:type="dxa"/>
              <w:bottom w:w="0" w:type="dxa"/>
              <w:right w:w="57" w:type="dxa"/>
            </w:tcMar>
            <w:vAlign w:val="top"/>
          </w:tcPr>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一、安防维保系统概况</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采购人安装的安防系统有：监控系统、报警系统和门禁系统。安防设备共计669个，分别为：监控摄像头435个、一键报警装置113个、门禁系统106套（含人脸识别机92套、指纹机14套）、残卫紧急求助装置15个。</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二、维护保养范围及目标</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（一）范围（详见附件1.各系统设备清单</w:t>
            </w:r>
            <w:r>
              <w:rPr>
                <w:rFonts w:hint="eastAsia" w:asciiTheme="minorEastAsia" w:hAnsiTheme="minorEastAsia" w:eastAsiaTheme="minorEastAsia" w:cstheme="minorEastAsia"/>
                <w:color w:val="auto"/>
                <w:sz w:val="22"/>
                <w:szCs w:val="22"/>
                <w:highlight w:val="none"/>
                <w:lang w:val="en-US" w:eastAsia="zh-CN"/>
              </w:rPr>
              <w:t>）</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监控系统：对435个监控摄像头、3台硬盘录像机、视频存储设备及传输线路进行维护，确保图像清晰、存储正常、传输稳定。</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 xml:space="preserve">门禁系统：涵盖106套门禁设备，包括读卡器、控制器、门锁、发卡器等，保障门禁正常开关、权限管理准确。 </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报警系统：负责128个紧急报警按钮、报警主机及相关线路的维护，保证报警功能的灵敏可靠。</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（二）目标</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1、对安防系统定期进行的维修保养，及时的发现和排除安防系统出现的故障和问题，避免功能失灵。</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2、通过专业的精心维护保养，定期检查修理，确保设备的完好，并延长设备的使用寿命。</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三、服务标准及要求</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为确保系统正常运行，成交人应定期对系统进行巡检和测试（每月</w:t>
            </w:r>
            <w:r>
              <w:rPr>
                <w:rFonts w:hint="eastAsia" w:asciiTheme="minorEastAsia" w:hAnsiTheme="minorEastAsia" w:eastAsiaTheme="minorEastAsia" w:cstheme="minorEastAsia"/>
                <w:color w:val="auto"/>
                <w:sz w:val="22"/>
                <w:szCs w:val="22"/>
                <w:highlight w:val="none"/>
                <w:lang w:val="en-US" w:eastAsia="zh-CN"/>
              </w:rPr>
              <w:t>一次），对设备不稳定因素或可能存在的预期故障报告采购人及时更换或修复。维保人员针对采购人载明的故障或申报项目进行故障处理，处理后应恢复硬件及软件完好时的技术性能指标，处理的过程及结果均应符合国家、行业、企业的有关标准.</w:t>
            </w:r>
          </w:p>
          <w:p>
            <w:pPr>
              <w:pStyle w:val="16"/>
              <w:numPr>
                <w:ilvl w:val="0"/>
                <w:numId w:val="0"/>
              </w:numPr>
              <w:ind w:right="0" w:rightChars="0"/>
              <w:jc w:val="both"/>
              <w:rPr>
                <w:rFonts w:hint="eastAsia" w:asciiTheme="minorEastAsia" w:hAnsiTheme="minorEastAsia" w:eastAsiaTheme="minorEastAsia" w:cstheme="minorEastAsia"/>
                <w:b/>
                <w:bCs/>
                <w:color w:val="FF0000"/>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（一）响应时间：一般故障时，1小时内响应，12小时内到达现场处理。紧急故障时，半小时内响应，6小时内到达现场处理，故障现场解决时间降低到2小时以内。</w:t>
            </w:r>
          </w:p>
          <w:p>
            <w:pPr>
              <w:numPr>
                <w:ilvl w:val="0"/>
                <w:numId w:val="0"/>
              </w:numPr>
              <w:spacing w:line="50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（二）定期巡检：每月至少进行1次全面巡检，记录设备运行状态，及时发现潜在问题并处理，并按规范提交维保检测报告。</w:t>
            </w:r>
            <w:r>
              <w:rPr>
                <w:rFonts w:hint="eastAsia" w:ascii="仿宋_GB2312" w:hAnsi="宋体" w:eastAsia="仿宋_GB2312" w:cs="宋体"/>
                <w:color w:val="000000" w:themeColor="text1"/>
                <w:kern w:val="0"/>
                <w:sz w:val="32"/>
                <w:szCs w:val="32"/>
                <w:highlight w:val="none"/>
                <w14:textFill>
                  <w14:solidFill>
                    <w14:schemeClr w14:val="tx1"/>
                  </w14:solidFill>
                </w14:textFill>
              </w:rPr>
              <w:t xml:space="preserve"> </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（三）维修更换：维修使用原厂或同品质配件，更换配件需经医院同意，提供质量保证。</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（四）技术支持：提供24小时技术咨询，协助医院进行安防系统升级优化。</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（五）其它：采购人迎接重大生产安全检查，若有需要，成交人应免费</w:t>
            </w:r>
            <w:r>
              <w:rPr>
                <w:rFonts w:hint="eastAsia" w:asciiTheme="minorEastAsia" w:hAnsiTheme="minorEastAsia" w:eastAsiaTheme="minorEastAsia" w:cstheme="minorEastAsia"/>
                <w:color w:val="auto"/>
                <w:sz w:val="22"/>
                <w:szCs w:val="22"/>
                <w:highlight w:val="none"/>
                <w:lang w:val="en-US" w:eastAsia="zh-CN"/>
              </w:rPr>
              <w:t>派遣1名专业技术人员配合做好检查前的准备工作，确保采购人安防系统处于正常运行状态，助力顺利通过检查。</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四、资质、人员需求</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1.人员需求：身体健康，配备维保人员4名，项目负责人和技术负责人各1名，成交人提供名单。</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2.资质需求：拟投入维保人员需持有建筑智能或</w:t>
            </w:r>
            <w:r>
              <w:rPr>
                <w:rFonts w:hint="eastAsia" w:asciiTheme="minorEastAsia" w:hAnsiTheme="minorEastAsia" w:eastAsiaTheme="minorEastAsia" w:cstheme="minorEastAsia"/>
                <w:color w:val="auto"/>
                <w:sz w:val="22"/>
                <w:szCs w:val="22"/>
                <w:highlight w:val="none"/>
                <w:lang w:val="en-US" w:eastAsia="zh-CN"/>
              </w:rPr>
              <w:t>计算机等相关专业职称证书，拟投入负责人和技术负责人具备二级注册机电专业建造师执业资格证书及以上证书</w:t>
            </w:r>
            <w:r>
              <w:rPr>
                <w:rFonts w:hint="eastAsia" w:asciiTheme="minorEastAsia" w:hAnsiTheme="minorEastAsia" w:eastAsiaTheme="minorEastAsia" w:cstheme="minorEastAsia"/>
                <w:color w:val="auto"/>
                <w:sz w:val="22"/>
                <w:szCs w:val="22"/>
                <w:highlight w:val="none"/>
                <w:lang w:val="en-US" w:eastAsia="zh-CN"/>
              </w:rPr>
              <w:t>。</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3.其他要求：对维保操作现场的卫生负责，严禁吸烟、乱扔垃圾，发现一起，予以罚款。</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五、服务考核（详见附件2.安防系统维保服务考核表（季度）</w:t>
            </w:r>
            <w:r>
              <w:rPr>
                <w:rFonts w:hint="eastAsia" w:asciiTheme="minorEastAsia" w:hAnsiTheme="minorEastAsia" w:eastAsiaTheme="minorEastAsia" w:cstheme="minorEastAsia"/>
                <w:color w:val="auto"/>
                <w:sz w:val="22"/>
                <w:szCs w:val="22"/>
                <w:highlight w:val="none"/>
                <w:lang w:val="en-US" w:eastAsia="zh-CN"/>
              </w:rPr>
              <w:t>）</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六、更换部件</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更换部件:1.成交人为采购人提供的部件必须保证为符合行业质量标准的零配件。2.在维保期内，成交人必须储备有足够的主要备件和易耗备件。如需要更换设备零部件时，成交人应及时通知采购人。</w:t>
            </w:r>
            <w:r>
              <w:rPr>
                <w:rFonts w:hint="eastAsia" w:asciiTheme="minorEastAsia" w:hAnsiTheme="minorEastAsia" w:eastAsiaTheme="minorEastAsia" w:cstheme="minorEastAsia"/>
                <w:color w:val="auto"/>
                <w:sz w:val="22"/>
                <w:szCs w:val="22"/>
                <w:highlight w:val="none"/>
                <w:lang w:val="en-US" w:eastAsia="zh-CN"/>
              </w:rPr>
              <w:t>维保范围内单项费用100元以下的零配件的配件费</w:t>
            </w:r>
            <w:r>
              <w:rPr>
                <w:rFonts w:hint="eastAsia" w:asciiTheme="minorEastAsia" w:hAnsiTheme="minorEastAsia" w:eastAsiaTheme="minorEastAsia" w:cstheme="minorEastAsia"/>
                <w:color w:val="auto"/>
                <w:sz w:val="22"/>
                <w:szCs w:val="22"/>
                <w:highlight w:val="none"/>
                <w:lang w:val="en-US" w:eastAsia="zh-CN"/>
              </w:rPr>
              <w:t>、更换费用、劳务费、管理费、工具费等，由成交人自行承担。金额超过100元的零配件更换和设备维修费则按市场价由采购人负责采购或委托成交人代购，由成交人安装，如由成交人代购零部件时，成交人必须购买原厂同型号产品、提供合格证，并先将新零配件及出厂合格证明和价格清单交由采购人审核并验收确认后，再进行更换，更换费用由采购人承担。</w:t>
            </w:r>
          </w:p>
        </w:tc>
      </w:tr>
    </w:tbl>
    <w:p>
      <w:pPr>
        <w:pStyle w:val="8"/>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2"/>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2"/>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pStyle w:val="2"/>
        <w:rPr>
          <w:rFonts w:hint="eastAsia"/>
        </w:rPr>
      </w:pPr>
    </w:p>
    <w:p>
      <w:pPr>
        <w:rPr>
          <w:rFonts w:hint="eastAsia"/>
        </w:rPr>
      </w:pPr>
    </w:p>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rPr>
          <w:rFonts w:hint="default" w:asciiTheme="minorEastAsia" w:hAnsiTheme="minorEastAsia" w:eastAsiaTheme="minorEastAsia" w:cstheme="minorEastAsia"/>
          <w:color w:val="auto"/>
          <w:spacing w:val="2"/>
          <w:sz w:val="22"/>
          <w:szCs w:val="22"/>
          <w:highlight w:val="none"/>
          <w:lang w:val="en-US" w:eastAsia="zh-CN"/>
        </w:rPr>
      </w:pPr>
      <w:r>
        <w:rPr>
          <w:rFonts w:hint="eastAsia" w:asciiTheme="minorEastAsia" w:hAnsiTheme="minorEastAsia" w:eastAsiaTheme="minorEastAsia" w:cstheme="minorEastAsia"/>
          <w:color w:val="auto"/>
          <w:spacing w:val="2"/>
          <w:sz w:val="22"/>
          <w:szCs w:val="22"/>
          <w:highlight w:val="none"/>
          <w:lang w:eastAsia="zh-CN"/>
        </w:rPr>
        <w:t>附件</w:t>
      </w:r>
      <w:r>
        <w:rPr>
          <w:rFonts w:hint="eastAsia" w:asciiTheme="minorEastAsia" w:hAnsiTheme="minorEastAsia" w:eastAsiaTheme="minorEastAsia" w:cstheme="minorEastAsia"/>
          <w:color w:val="auto"/>
          <w:spacing w:val="2"/>
          <w:sz w:val="22"/>
          <w:szCs w:val="22"/>
          <w:highlight w:val="none"/>
          <w:lang w:val="en-US" w:eastAsia="zh-CN"/>
        </w:rPr>
        <w:t>1：各系统设备清单</w:t>
      </w:r>
    </w:p>
    <w:p>
      <w:pPr>
        <w:rPr>
          <w:rFonts w:hint="eastAsia" w:asciiTheme="minorEastAsia" w:hAnsiTheme="minorEastAsia" w:eastAsiaTheme="minorEastAsia" w:cstheme="minorEastAsia"/>
          <w:color w:val="auto"/>
          <w:spacing w:val="2"/>
          <w:sz w:val="22"/>
          <w:szCs w:val="22"/>
          <w:highlight w:val="none"/>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3091"/>
        <w:gridCol w:w="2932"/>
        <w:gridCol w:w="1521"/>
        <w:gridCol w:w="664"/>
        <w:gridCol w:w="805"/>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设备维保清单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40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品牌厂家</w:t>
            </w:r>
          </w:p>
        </w:tc>
        <w:tc>
          <w:tcPr>
            <w:tcW w:w="31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8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8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764" w:type="pct"/>
            <w:gridSpan w:val="2"/>
            <w:tcBorders>
              <w:top w:val="single" w:color="000000" w:sz="4" w:space="0"/>
              <w:left w:val="single" w:color="000000" w:sz="4" w:space="0"/>
              <w:bottom w:val="single" w:color="000000" w:sz="4" w:space="0"/>
              <w:right w:val="nil"/>
            </w:tcBorders>
            <w:shd w:val="clear" w:color="auto"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一、联友总包</w:t>
            </w:r>
          </w:p>
        </w:tc>
        <w:tc>
          <w:tcPr>
            <w:tcW w:w="1409" w:type="pct"/>
            <w:tcBorders>
              <w:top w:val="single" w:color="000000" w:sz="4" w:space="0"/>
              <w:left w:val="nil"/>
              <w:bottom w:val="single" w:color="000000" w:sz="4" w:space="0"/>
              <w:right w:val="nil"/>
            </w:tcBorders>
            <w:shd w:val="clear" w:color="auto" w:fill="D2F4F2"/>
            <w:vAlign w:val="center"/>
          </w:tcPr>
          <w:p>
            <w:pPr>
              <w:jc w:val="center"/>
              <w:rPr>
                <w:rFonts w:hint="eastAsia" w:ascii="宋体" w:hAnsi="宋体" w:eastAsia="宋体" w:cs="宋体"/>
                <w:b/>
                <w:bCs/>
                <w:i w:val="0"/>
                <w:iCs w:val="0"/>
                <w:color w:val="000000"/>
                <w:sz w:val="22"/>
                <w:szCs w:val="22"/>
                <w:u w:val="none"/>
              </w:rPr>
            </w:pPr>
          </w:p>
        </w:tc>
        <w:tc>
          <w:tcPr>
            <w:tcW w:w="731" w:type="pct"/>
            <w:tcBorders>
              <w:top w:val="single" w:color="000000" w:sz="4" w:space="0"/>
              <w:left w:val="nil"/>
              <w:bottom w:val="single" w:color="000000" w:sz="4" w:space="0"/>
              <w:right w:val="nil"/>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c>
          <w:tcPr>
            <w:tcW w:w="317" w:type="pct"/>
            <w:tcBorders>
              <w:top w:val="single" w:color="000000" w:sz="4" w:space="0"/>
              <w:left w:val="nil"/>
              <w:bottom w:val="single" w:color="000000" w:sz="4" w:space="0"/>
              <w:right w:val="nil"/>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nil"/>
              <w:bottom w:val="single" w:color="000000" w:sz="4" w:space="0"/>
              <w:right w:val="nil"/>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c>
          <w:tcPr>
            <w:tcW w:w="389" w:type="pct"/>
            <w:tcBorders>
              <w:top w:val="single" w:color="000000" w:sz="4" w:space="0"/>
              <w:left w:val="nil"/>
              <w:bottom w:val="single" w:color="000000" w:sz="4" w:space="0"/>
              <w:right w:val="single" w:color="000000" w:sz="4" w:space="0"/>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400万像素室外高清高速球型网络摄像机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DS-2DE6432IW-A(T5)</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400万像素星光级筒型POE摄像机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DS-2CD2T46EWDV3-L</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400万像素星光级筒型摄像机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DS-2CD2T46EWDV3-L</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400万像素星光级POE半球网络摄像机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DS-2CD2346WDV3-I</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400万像素星光级半球网络摄像机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DS-2CD2346WDV3-I</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400万像素宽动态POE半球网络摄像机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DS-2CD7147EWDV2-IZS(2.8-12mm)(D)(白)</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室内POE人脸抓拍半球</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DS-2CD7147EWDV2-IZS(2.8-12mm)(D)(白)</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400万电梯半球摄像机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DS-2CD2546FWDA1-IS/DT</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电梯专用网桥</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TL-S5-5KM</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平台管理软件</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iSecure Center</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平台管理服务器 </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DS-VE22S-B</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流媒体服务器 </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DS-VM21S-B</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人脸比对超脑</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iDS-96064NX-I16</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监控专用硬盘</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WD62PURX-78</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超容量存储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DS-AT1000S/320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55寸LED液晶拼接单元</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SAM550MD01</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广州赛普</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机柜式LCD拼接屏支架</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广州赛普</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大屏幕控制软件</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Polyvision</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广州赛普</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8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HDMI高清线</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HD102-15m</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视频高清视音频解码器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DS-6916UD</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网络键盘</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DS-1100K</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8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视频管理工作站</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超越E500-15152</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清华同方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32路高清存储NVR</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DS-7732N-K4</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32寸液晶监视器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DT-M3200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德天</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8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HDMI高清线</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RG-S7805C*1/M7805C-CM*2/RG-PA300I-F*2/M7800C-24SFP/12GT4XS-EA*1</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c>
          <w:tcPr>
            <w:tcW w:w="31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24口汇聚千兆交换机</w:t>
            </w:r>
          </w:p>
        </w:tc>
        <w:tc>
          <w:tcPr>
            <w:tcW w:w="140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RG-S2900-24GT4SFP-L</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8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24口POE千兆交换机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RG-NBS3100-24GT4SFP-P</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千兆光模块</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MINI-GBIC-LX-SM1310</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1光4电交换机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OP-GYF303G</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1光8电交换机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OP-GYF108G</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8光2电交换机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OP-GYF802G</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SFP-GE-LX</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42U服务器机柜</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G26242</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图腾</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42U网络机柜</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G26642</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图腾</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机柜PDU</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GN-E1080D</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12U壁挂机柜</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W2.6412</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图腾</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220V纯电源防雷器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HLD-25K</w:t>
            </w:r>
          </w:p>
        </w:tc>
        <w:tc>
          <w:tcPr>
            <w:tcW w:w="731"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华立顿</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防雷插座</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GN-H1330</w:t>
            </w:r>
          </w:p>
        </w:tc>
        <w:tc>
          <w:tcPr>
            <w:tcW w:w="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764" w:type="pct"/>
            <w:gridSpan w:val="2"/>
            <w:tcBorders>
              <w:top w:val="single" w:color="000000" w:sz="4" w:space="0"/>
              <w:left w:val="single" w:color="000000" w:sz="4" w:space="0"/>
              <w:bottom w:val="single" w:color="000000" w:sz="4" w:space="0"/>
              <w:right w:val="nil"/>
            </w:tcBorders>
            <w:shd w:val="clear" w:color="auto"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二、大门口监控</w:t>
            </w:r>
          </w:p>
        </w:tc>
        <w:tc>
          <w:tcPr>
            <w:tcW w:w="1409" w:type="pct"/>
            <w:tcBorders>
              <w:top w:val="single" w:color="000000" w:sz="4" w:space="0"/>
              <w:left w:val="nil"/>
              <w:bottom w:val="single" w:color="000000" w:sz="4" w:space="0"/>
              <w:right w:val="nil"/>
            </w:tcBorders>
            <w:shd w:val="clear" w:color="auto" w:fill="D2F4F2"/>
            <w:vAlign w:val="center"/>
          </w:tcPr>
          <w:p>
            <w:pPr>
              <w:jc w:val="center"/>
              <w:rPr>
                <w:rFonts w:hint="eastAsia" w:ascii="宋体" w:hAnsi="宋体" w:eastAsia="宋体" w:cs="宋体"/>
                <w:b/>
                <w:bCs/>
                <w:i w:val="0"/>
                <w:iCs w:val="0"/>
                <w:color w:val="000000"/>
                <w:sz w:val="22"/>
                <w:szCs w:val="22"/>
                <w:u w:val="none"/>
              </w:rPr>
            </w:pPr>
          </w:p>
        </w:tc>
        <w:tc>
          <w:tcPr>
            <w:tcW w:w="731" w:type="pct"/>
            <w:tcBorders>
              <w:top w:val="single" w:color="000000" w:sz="4" w:space="0"/>
              <w:left w:val="nil"/>
              <w:bottom w:val="single" w:color="000000" w:sz="4" w:space="0"/>
              <w:right w:val="nil"/>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c>
          <w:tcPr>
            <w:tcW w:w="317" w:type="pct"/>
            <w:tcBorders>
              <w:top w:val="single" w:color="000000" w:sz="4" w:space="0"/>
              <w:left w:val="nil"/>
              <w:bottom w:val="single" w:color="000000" w:sz="4" w:space="0"/>
              <w:right w:val="nil"/>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nil"/>
              <w:bottom w:val="single" w:color="000000" w:sz="4" w:space="0"/>
              <w:right w:val="nil"/>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c>
          <w:tcPr>
            <w:tcW w:w="389" w:type="pct"/>
            <w:tcBorders>
              <w:top w:val="single" w:color="000000" w:sz="4" w:space="0"/>
              <w:left w:val="nil"/>
              <w:bottom w:val="single" w:color="000000" w:sz="4" w:space="0"/>
              <w:right w:val="single" w:color="000000" w:sz="4" w:space="0"/>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200万像素星光级筒型摄像机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DS-2CD3T25D-I3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摄像机电源</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DC12V5A</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ANP</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220V纯电源防雷器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HLD-25K</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华立顿</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5口百兆交换机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RG-ES05</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764" w:type="pct"/>
            <w:gridSpan w:val="2"/>
            <w:tcBorders>
              <w:top w:val="single" w:color="000000" w:sz="4" w:space="0"/>
              <w:left w:val="single" w:color="000000" w:sz="4" w:space="0"/>
              <w:bottom w:val="single" w:color="000000" w:sz="4" w:space="0"/>
              <w:right w:val="nil"/>
            </w:tcBorders>
            <w:shd w:val="clear" w:color="auto"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三、厨房监控</w:t>
            </w:r>
          </w:p>
        </w:tc>
        <w:tc>
          <w:tcPr>
            <w:tcW w:w="1409" w:type="pct"/>
            <w:tcBorders>
              <w:top w:val="single" w:color="000000" w:sz="4" w:space="0"/>
              <w:left w:val="nil"/>
              <w:bottom w:val="single" w:color="000000" w:sz="4" w:space="0"/>
              <w:right w:val="nil"/>
            </w:tcBorders>
            <w:shd w:val="clear" w:color="auto" w:fill="D2F4F2"/>
            <w:vAlign w:val="center"/>
          </w:tcPr>
          <w:p>
            <w:pPr>
              <w:jc w:val="center"/>
              <w:rPr>
                <w:rFonts w:hint="eastAsia" w:ascii="宋体" w:hAnsi="宋体" w:eastAsia="宋体" w:cs="宋体"/>
                <w:b/>
                <w:bCs/>
                <w:i w:val="0"/>
                <w:iCs w:val="0"/>
                <w:color w:val="000000"/>
                <w:sz w:val="22"/>
                <w:szCs w:val="22"/>
                <w:u w:val="none"/>
              </w:rPr>
            </w:pPr>
          </w:p>
        </w:tc>
        <w:tc>
          <w:tcPr>
            <w:tcW w:w="731" w:type="pct"/>
            <w:tcBorders>
              <w:top w:val="single" w:color="000000" w:sz="4" w:space="0"/>
              <w:left w:val="nil"/>
              <w:bottom w:val="single" w:color="000000" w:sz="4" w:space="0"/>
              <w:right w:val="nil"/>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c>
          <w:tcPr>
            <w:tcW w:w="317" w:type="pct"/>
            <w:tcBorders>
              <w:top w:val="single" w:color="000000" w:sz="4" w:space="0"/>
              <w:left w:val="nil"/>
              <w:bottom w:val="single" w:color="000000" w:sz="4" w:space="0"/>
              <w:right w:val="nil"/>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nil"/>
              <w:bottom w:val="single" w:color="000000" w:sz="4" w:space="0"/>
              <w:right w:val="nil"/>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c>
          <w:tcPr>
            <w:tcW w:w="389" w:type="pct"/>
            <w:tcBorders>
              <w:top w:val="single" w:color="000000" w:sz="4" w:space="0"/>
              <w:left w:val="nil"/>
              <w:bottom w:val="single" w:color="000000" w:sz="4" w:space="0"/>
              <w:right w:val="single" w:color="000000" w:sz="4" w:space="0"/>
            </w:tcBorders>
            <w:shd w:val="clear" w:color="auto" w:fill="D2F4F2"/>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200万H.265海螺型网络摄像机（拾音款+POE）</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DS-IPC-T12HV3-IA(PoE)</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8口千兆网管POE+2千兆光</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RG-NBS3100-8GT2SFP-P</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品牌厂家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寻呼主机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ASA-8000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艾礼安</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IP地址盒</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AIS-201</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艾礼安</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室外IP视频+语音对讲终端</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ASA-530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艾礼安</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RG-ES126GS</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16口千兆交换机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RG-ES118GS</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RG-ES110GDS</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7"/>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增加一键报警器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品牌厂家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室外IP视频+语音对讲终端</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ASA-530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艾礼安</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RG-NBS5710-24GT4SFP-E</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RG-ES110GDS V2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品牌厂家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IP网络可视对讲主机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NNV-30++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模数转换器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NNV-AD</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地址盒 </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NLS-SE</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防水按钮 </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NBW-AN3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三色门灯</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NBW-ME5</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品牌厂家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系统8：门禁系统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门禁管理工作站</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超越E500-50411</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清华同方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门禁服务器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NF5270M5   </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清华同方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发卡器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DW-107MF</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人脸录入仪</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指纹录入仪</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DW-FP-U1</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IC卡</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S50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广州市柏生</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单门双向控制器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DW-6841JC-CP</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双门双向控制器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DW-6842JC-CP</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四门单向控制器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DW-6844JC-CP</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5寸活体人脸识别仪</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DW-FC2-A15</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室外人脸机护罩</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45*142*83mm定制</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深圳市中安博</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半导体指纹仪</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DW-FP3-M</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IP网络可视对讲主机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NNV-30++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7寸双向可视分机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NB-B07D-R1+</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单门磁力锁</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DW-LM280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双门磁力锁</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DW-LM280D</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磁力锁安装支架</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DW-LA-M280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出门按钮</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DW-AN</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深圳丽泽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住院楼一楼消防控制室(50.12㎡）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UPS电源系统</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机房UPS不间断电源（60KVA）</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HP3360H-SY21</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GW12100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蓄电池屏(柜)</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C32</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品牌厂家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一、前端设备安装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400万像素星光级POE半球网络摄像机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DS-2CD2346WDV3-I</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400万像素星光级筒型POE摄像机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DS-2CD2T46EWDV3-L</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摄像机支架</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DS-1292ZJ-K</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24口POE千兆交换机</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RG-NBS3100-24GT4SFP-P</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千兆光模块</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MINI-GBIC-LX-SM1310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锐捷网络</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二、存储录像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平台接入视频授权</w:t>
            </w:r>
          </w:p>
        </w:tc>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接入许可</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32路高清存储NVR</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DS-8832N-R8</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8T监控硬盘</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HUS728T8TALE6L4</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西数</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一键报警系统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室外IP视频+语音对讲终端</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ASA-530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艾礼安</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残卫紧急求助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模数转换器</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NNV-AD</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地址盒</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NLS-SE</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防水按钮</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NBW-AN3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门灯</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NBW-ME5</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来邦科技</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br w:type="page"/>
      </w:r>
    </w:p>
    <w:p>
      <w:pPr>
        <w:rPr>
          <w:rFonts w:hint="eastAsia" w:asciiTheme="minorEastAsia" w:hAnsiTheme="minorEastAsia" w:eastAsiaTheme="minorEastAsia" w:cstheme="minorEastAsia"/>
          <w:color w:val="auto"/>
          <w:spacing w:val="2"/>
          <w:sz w:val="22"/>
          <w:szCs w:val="22"/>
          <w:highlight w:val="none"/>
        </w:rPr>
        <w:sectPr>
          <w:pgSz w:w="11910" w:h="16840"/>
          <w:pgMar w:top="1111" w:right="560" w:bottom="969" w:left="1160" w:header="879" w:footer="892" w:gutter="0"/>
          <w:cols w:space="720" w:num="1"/>
        </w:sectPr>
      </w:pPr>
    </w:p>
    <w:p>
      <w:pPr>
        <w:spacing w:line="500" w:lineRule="exact"/>
        <w:jc w:val="left"/>
        <w:rPr>
          <w:rFonts w:hint="default" w:ascii="方正小标宋简体" w:hAnsi="方正小标宋简体" w:eastAsia="方正小标宋简体" w:cs="方正小标宋简体"/>
          <w:kern w:val="0"/>
          <w:sz w:val="28"/>
          <w:szCs w:val="28"/>
          <w:lang w:val="en-US" w:eastAsia="zh-CN"/>
        </w:rPr>
      </w:pPr>
      <w:r>
        <w:rPr>
          <w:rFonts w:hint="eastAsia" w:ascii="方正小标宋简体" w:hAnsi="方正小标宋简体" w:eastAsia="方正小标宋简体" w:cs="方正小标宋简体"/>
          <w:kern w:val="0"/>
          <w:sz w:val="28"/>
          <w:szCs w:val="28"/>
          <w:lang w:eastAsia="zh-CN"/>
        </w:rPr>
        <w:t>附件</w:t>
      </w:r>
      <w:r>
        <w:rPr>
          <w:rFonts w:hint="eastAsia" w:ascii="方正小标宋简体" w:hAnsi="方正小标宋简体" w:eastAsia="方正小标宋简体" w:cs="方正小标宋简体"/>
          <w:kern w:val="0"/>
          <w:sz w:val="28"/>
          <w:szCs w:val="28"/>
          <w:lang w:val="en-US" w:eastAsia="zh-CN"/>
        </w:rPr>
        <w:t>2：</w:t>
      </w:r>
    </w:p>
    <w:p>
      <w:pPr>
        <w:spacing w:line="50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安防系统维保服务考核表</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季度</w:t>
      </w:r>
      <w:r>
        <w:rPr>
          <w:rFonts w:hint="eastAsia" w:ascii="方正小标宋简体" w:hAnsi="方正小标宋简体" w:eastAsia="方正小标宋简体" w:cs="方正小标宋简体"/>
          <w:kern w:val="0"/>
          <w:sz w:val="44"/>
          <w:szCs w:val="44"/>
          <w:lang w:eastAsia="zh-CN"/>
        </w:rPr>
        <w:t>）</w:t>
      </w:r>
    </w:p>
    <w:tbl>
      <w:tblPr>
        <w:tblStyle w:val="13"/>
        <w:tblW w:w="14764" w:type="dxa"/>
        <w:tblInd w:w="93" w:type="dxa"/>
        <w:tblLayout w:type="fixed"/>
        <w:tblCellMar>
          <w:top w:w="0" w:type="dxa"/>
          <w:left w:w="108" w:type="dxa"/>
          <w:bottom w:w="0" w:type="dxa"/>
          <w:right w:w="108" w:type="dxa"/>
        </w:tblCellMar>
      </w:tblPr>
      <w:tblGrid>
        <w:gridCol w:w="679"/>
        <w:gridCol w:w="1197"/>
        <w:gridCol w:w="783"/>
        <w:gridCol w:w="4367"/>
        <w:gridCol w:w="5533"/>
        <w:gridCol w:w="960"/>
        <w:gridCol w:w="1245"/>
      </w:tblGrid>
      <w:tr>
        <w:tblPrEx>
          <w:tblCellMar>
            <w:top w:w="0" w:type="dxa"/>
            <w:left w:w="108" w:type="dxa"/>
            <w:bottom w:w="0" w:type="dxa"/>
            <w:right w:w="108" w:type="dxa"/>
          </w:tblCellMar>
        </w:tblPrEx>
        <w:trPr>
          <w:trHeight w:val="4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考核</w:t>
            </w:r>
          </w:p>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项目</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考核要求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实际</w:t>
            </w:r>
          </w:p>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备注（扣分原因）</w:t>
            </w:r>
          </w:p>
        </w:tc>
      </w:tr>
      <w:tr>
        <w:tblPrEx>
          <w:tblCellMar>
            <w:top w:w="0" w:type="dxa"/>
            <w:left w:w="108" w:type="dxa"/>
            <w:bottom w:w="0" w:type="dxa"/>
            <w:right w:w="108" w:type="dxa"/>
          </w:tblCellMar>
        </w:tblPrEx>
        <w:trPr>
          <w:trHeight w:val="385"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故障处理</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故障解决能力：故障定位不准确，解决方案不可行，无法及时解决疑难或排除设备故障，每次扣2分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5"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应急处理：重大故障和严重故障到达现场超时的扣10分,一般故障到达现场超时的扣2分。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服务要求</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乙方应提供7*24小时售后技术支持，未及时响应甲方的服务请求的，每次扣2分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1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未按合同内容进行维保的，每缺一项内容扣5分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35"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乙方对甲方临时安排的维修或服务咨询配合是否及时、周到，不合格每次扣5分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巡检服务</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安防系统设备及系统巡检次数：在维保期内每</w:t>
            </w:r>
            <w:r>
              <w:rPr>
                <w:rFonts w:hint="eastAsia" w:ascii="宋体" w:hAnsi="宋体" w:eastAsia="宋体" w:cs="宋体"/>
                <w:color w:val="000000"/>
                <w:kern w:val="0"/>
                <w:sz w:val="22"/>
                <w:szCs w:val="22"/>
                <w:lang w:eastAsia="zh-CN"/>
              </w:rPr>
              <w:t>月</w:t>
            </w:r>
            <w:r>
              <w:rPr>
                <w:rFonts w:hint="eastAsia" w:ascii="宋体" w:hAnsi="宋体" w:eastAsia="宋体" w:cs="宋体"/>
                <w:color w:val="000000"/>
                <w:kern w:val="0"/>
                <w:sz w:val="22"/>
                <w:szCs w:val="22"/>
              </w:rPr>
              <w:t>提供1次现场常规巡检，未按时巡检扣10分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9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巡检服务不遵守设备厂家巡检管理规范、巡检管理流程，扣5分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运维文档提交时效性：巡检结束后， 运维文档、报告未能在7日内完成提交，或者弄虚作假，与实际情况不相符，不完整的，扣5分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15"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备品备件</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乙方应确保维保设备的关键备件的充足性和及时供应，设备发生故障，未能按照备件交付时间提供严重影响系统运行，每次扣2分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85"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乙方提供的备品备件（主要设备）， 非设备厂家原厂的设备，每次扣5分。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685"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现场培训</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乙方在完成现场故障修复后,应提供故障处理报告，应针对本次故障出现的原因和故障排除方法对甲方的中控人员进行现场培训，未提供报告、未培训每次扣2分。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重要工作值守</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对甲方在某些重大保障活动中提出的现场值守保障服务，乙方未派员到位服务或者服务过程不合格的，每次扣2分。</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100</w:t>
            </w:r>
          </w:p>
        </w:tc>
        <w:tc>
          <w:tcPr>
            <w:tcW w:w="9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0" w:hRule="atLeast"/>
        </w:trPr>
        <w:tc>
          <w:tcPr>
            <w:tcW w:w="7026"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p>
            <w:pPr>
              <w:rPr>
                <w:rFonts w:ascii="宋体" w:hAnsi="宋体" w:eastAsia="宋体" w:cs="宋体"/>
                <w:color w:val="000000"/>
                <w:sz w:val="22"/>
                <w:szCs w:val="22"/>
              </w:rPr>
            </w:pPr>
            <w:r>
              <w:rPr>
                <w:rFonts w:hint="eastAsia" w:ascii="宋体" w:hAnsi="宋体" w:eastAsia="宋体" w:cs="宋体"/>
                <w:color w:val="000000"/>
                <w:sz w:val="22"/>
                <w:szCs w:val="22"/>
                <w:lang w:eastAsia="zh-CN"/>
              </w:rPr>
              <w:t>甲方主管部门考核意见</w:t>
            </w:r>
            <w:r>
              <w:rPr>
                <w:rFonts w:hint="eastAsia" w:ascii="宋体" w:hAnsi="宋体" w:eastAsia="宋体" w:cs="宋体"/>
                <w:color w:val="000000"/>
                <w:sz w:val="22"/>
                <w:szCs w:val="22"/>
              </w:rPr>
              <w:t>：</w:t>
            </w:r>
          </w:p>
          <w:p>
            <w:pPr>
              <w:rPr>
                <w:rFonts w:ascii="宋体" w:hAnsi="宋体" w:eastAsia="宋体" w:cs="宋体"/>
                <w:color w:val="000000"/>
                <w:sz w:val="22"/>
                <w:szCs w:val="22"/>
              </w:rPr>
            </w:pPr>
          </w:p>
          <w:p>
            <w:pPr>
              <w:ind w:right="440" w:firstLine="4180" w:firstLineChars="1900"/>
              <w:rPr>
                <w:rFonts w:hint="eastAsia" w:ascii="宋体" w:hAnsi="宋体" w:eastAsia="宋体" w:cs="宋体"/>
                <w:color w:val="000000"/>
                <w:sz w:val="22"/>
                <w:szCs w:val="22"/>
              </w:rPr>
            </w:pPr>
          </w:p>
          <w:p>
            <w:pPr>
              <w:ind w:right="440" w:firstLine="4180" w:firstLineChars="1900"/>
              <w:rPr>
                <w:rFonts w:ascii="宋体" w:hAnsi="宋体" w:eastAsia="宋体" w:cs="宋体"/>
                <w:color w:val="000000"/>
                <w:sz w:val="22"/>
                <w:szCs w:val="22"/>
              </w:rPr>
            </w:pPr>
            <w:r>
              <w:rPr>
                <w:rFonts w:hint="eastAsia" w:ascii="宋体" w:hAnsi="宋体" w:eastAsia="宋体" w:cs="宋体"/>
                <w:color w:val="000000"/>
                <w:sz w:val="22"/>
                <w:szCs w:val="22"/>
              </w:rPr>
              <w:t>考核人（签字）：</w:t>
            </w:r>
          </w:p>
          <w:p>
            <w:pPr>
              <w:ind w:right="440" w:firstLine="4180" w:firstLineChars="1900"/>
              <w:rPr>
                <w:rFonts w:ascii="宋体" w:hAnsi="宋体" w:eastAsia="宋体" w:cs="宋体"/>
                <w:color w:val="000000"/>
                <w:sz w:val="22"/>
                <w:szCs w:val="22"/>
              </w:rPr>
            </w:pPr>
            <w:r>
              <w:rPr>
                <w:rFonts w:hint="eastAsia" w:ascii="宋体" w:hAnsi="宋体" w:eastAsia="宋体" w:cs="宋体"/>
                <w:color w:val="000000"/>
                <w:sz w:val="22"/>
                <w:szCs w:val="22"/>
              </w:rPr>
              <w:t>年     月    日</w:t>
            </w:r>
          </w:p>
        </w:tc>
        <w:tc>
          <w:tcPr>
            <w:tcW w:w="773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sz w:val="22"/>
                <w:szCs w:val="22"/>
              </w:rPr>
            </w:pPr>
          </w:p>
          <w:p>
            <w:pPr>
              <w:rPr>
                <w:rFonts w:ascii="宋体" w:hAnsi="宋体" w:eastAsia="宋体" w:cs="宋体"/>
                <w:color w:val="000000"/>
                <w:sz w:val="22"/>
                <w:szCs w:val="22"/>
              </w:rPr>
            </w:pPr>
            <w:r>
              <w:rPr>
                <w:rFonts w:hint="eastAsia" w:ascii="宋体" w:hAnsi="宋体" w:eastAsia="宋体" w:cs="宋体"/>
                <w:color w:val="000000"/>
                <w:sz w:val="22"/>
                <w:szCs w:val="22"/>
                <w:lang w:eastAsia="zh-CN"/>
              </w:rPr>
              <w:t>乙方</w:t>
            </w:r>
            <w:r>
              <w:rPr>
                <w:rFonts w:hint="eastAsia" w:ascii="宋体" w:hAnsi="宋体" w:eastAsia="宋体" w:cs="宋体"/>
                <w:color w:val="000000"/>
                <w:sz w:val="22"/>
                <w:szCs w:val="22"/>
              </w:rPr>
              <w:t>：</w:t>
            </w:r>
          </w:p>
          <w:p>
            <w:pPr>
              <w:rPr>
                <w:rFonts w:ascii="宋体" w:hAnsi="宋体" w:eastAsia="宋体" w:cs="宋体"/>
                <w:color w:val="000000"/>
                <w:sz w:val="22"/>
                <w:szCs w:val="22"/>
              </w:rPr>
            </w:pPr>
          </w:p>
          <w:p>
            <w:pPr>
              <w:ind w:right="440" w:firstLine="4400" w:firstLineChars="2000"/>
              <w:rPr>
                <w:rFonts w:hint="eastAsia" w:ascii="宋体" w:hAnsi="宋体" w:eastAsia="宋体" w:cs="宋体"/>
                <w:color w:val="000000"/>
                <w:sz w:val="22"/>
                <w:szCs w:val="22"/>
              </w:rPr>
            </w:pPr>
          </w:p>
          <w:p>
            <w:pPr>
              <w:ind w:right="440" w:firstLine="4400" w:firstLineChars="2000"/>
              <w:rPr>
                <w:rFonts w:ascii="宋体" w:hAnsi="宋体" w:eastAsia="宋体" w:cs="宋体"/>
                <w:color w:val="000000"/>
                <w:sz w:val="22"/>
                <w:szCs w:val="22"/>
              </w:rPr>
            </w:pPr>
            <w:r>
              <w:rPr>
                <w:rFonts w:hint="eastAsia" w:ascii="宋体" w:hAnsi="宋体" w:eastAsia="宋体" w:cs="宋体"/>
                <w:color w:val="000000"/>
                <w:sz w:val="22"/>
                <w:szCs w:val="22"/>
              </w:rPr>
              <w:t>（签字）：</w:t>
            </w:r>
          </w:p>
          <w:p>
            <w:pPr>
              <w:ind w:right="440" w:firstLine="4180" w:firstLineChars="1900"/>
              <w:rPr>
                <w:rFonts w:hint="eastAsia" w:ascii="宋体" w:hAnsi="宋体" w:eastAsia="宋体" w:cs="宋体"/>
                <w:color w:val="000000"/>
                <w:sz w:val="22"/>
                <w:szCs w:val="22"/>
              </w:rPr>
            </w:pPr>
            <w:r>
              <w:rPr>
                <w:rFonts w:hint="eastAsia" w:ascii="宋体" w:hAnsi="宋体" w:eastAsia="宋体" w:cs="宋体"/>
                <w:color w:val="000000"/>
                <w:sz w:val="22"/>
                <w:szCs w:val="22"/>
              </w:rPr>
              <w:t>年     月    日</w:t>
            </w:r>
          </w:p>
        </w:tc>
      </w:tr>
    </w:tbl>
    <w:p>
      <w:pPr>
        <w:rPr>
          <w:rFonts w:hint="eastAsia"/>
        </w:rPr>
        <w:sectPr>
          <w:pgSz w:w="16840" w:h="11910" w:orient="landscape"/>
          <w:pgMar w:top="1160" w:right="1111" w:bottom="560" w:left="969" w:header="879" w:footer="892" w:gutter="0"/>
          <w:cols w:space="720" w:num="1"/>
        </w:sectPr>
      </w:pPr>
    </w:p>
    <w:p>
      <w:pPr>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w:t>
      </w:r>
      <w:r>
        <w:rPr>
          <w:rFonts w:hint="eastAsia" w:asciiTheme="minorEastAsia" w:hAnsiTheme="minorEastAsia" w:eastAsiaTheme="minorEastAsia" w:cstheme="minorEastAsia"/>
          <w:b/>
          <w:bCs/>
          <w:color w:val="auto"/>
          <w:spacing w:val="2"/>
          <w:sz w:val="22"/>
          <w:szCs w:val="22"/>
          <w:highlight w:val="none"/>
        </w:rPr>
        <w:t>商务要求</w:t>
      </w:r>
    </w:p>
    <w:tbl>
      <w:tblPr>
        <w:tblStyle w:val="14"/>
        <w:tblW w:w="0" w:type="auto"/>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一、</w:t>
            </w:r>
            <w:bookmarkStart w:id="0" w:name="_GoBack"/>
            <w:r>
              <w:rPr>
                <w:rFonts w:hint="eastAsia" w:asciiTheme="minorEastAsia" w:hAnsiTheme="minorEastAsia" w:eastAsiaTheme="minorEastAsia" w:cstheme="minorEastAsia"/>
                <w:color w:val="auto"/>
                <w:sz w:val="22"/>
                <w:szCs w:val="22"/>
                <w:highlight w:val="none"/>
                <w:lang w:eastAsia="zh-CN"/>
              </w:rPr>
              <w:t>付款方式：按季支付服务费，每个季度考核所扣罚的费用，应从当季的服务费用中扣除。甲方60日内以银行转账方式支付乙方上一个季度的服务费,转账前乙方需提供合法的等额发票。</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二、服务期限：</w:t>
            </w:r>
            <w:r>
              <w:rPr>
                <w:rFonts w:hint="eastAsia" w:asciiTheme="minorEastAsia" w:hAnsiTheme="minorEastAsia" w:eastAsiaTheme="minorEastAsia" w:cstheme="minorEastAsia"/>
                <w:color w:val="auto"/>
                <w:sz w:val="22"/>
                <w:szCs w:val="22"/>
                <w:highlight w:val="none"/>
                <w:lang w:eastAsia="zh-CN"/>
              </w:rPr>
              <w:t>自合同签订之日起</w:t>
            </w:r>
            <w:r>
              <w:rPr>
                <w:rFonts w:hint="eastAsia" w:asciiTheme="minorEastAsia" w:hAnsiTheme="minorEastAsia" w:eastAsiaTheme="minorEastAsia" w:cstheme="minorEastAsia"/>
                <w:color w:val="auto"/>
                <w:sz w:val="22"/>
                <w:szCs w:val="22"/>
                <w:highlight w:val="none"/>
                <w:lang w:val="en-US" w:eastAsia="zh-CN"/>
              </w:rPr>
              <w:t>1年</w:t>
            </w:r>
            <w:r>
              <w:rPr>
                <w:rFonts w:hint="eastAsia" w:asciiTheme="minorEastAsia" w:hAnsiTheme="minorEastAsia" w:eastAsiaTheme="minorEastAsia" w:cstheme="minorEastAsia"/>
                <w:color w:val="auto"/>
                <w:sz w:val="22"/>
                <w:szCs w:val="22"/>
                <w:highlight w:val="none"/>
              </w:rPr>
              <w:t>。</w:t>
            </w:r>
          </w:p>
          <w:bookmarkEnd w:id="0"/>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三、服务地点：</w:t>
            </w:r>
            <w:r>
              <w:rPr>
                <w:rFonts w:hint="eastAsia" w:asciiTheme="minorEastAsia" w:hAnsiTheme="minorEastAsia" w:eastAsiaTheme="minorEastAsia" w:cstheme="minorEastAsia"/>
                <w:color w:val="auto"/>
                <w:sz w:val="22"/>
                <w:szCs w:val="22"/>
                <w:highlight w:val="none"/>
                <w:lang w:eastAsia="zh-CN"/>
              </w:rPr>
              <w:t>北海市妇幼保健院内指定地点。</w:t>
            </w:r>
          </w:p>
          <w:p>
            <w:pPr>
              <w:pStyle w:val="8"/>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pStyle w:val="8"/>
        <w:rPr>
          <w:color w:val="auto"/>
          <w:sz w:val="28"/>
        </w:rPr>
      </w:pPr>
    </w:p>
    <w:p>
      <w:pPr>
        <w:rPr>
          <w:color w:val="auto"/>
        </w:rPr>
      </w:pPr>
      <w:r>
        <w:rPr>
          <w:color w:val="auto"/>
        </w:rPr>
        <w:br w:type="page"/>
      </w:r>
    </w:p>
    <w:p>
      <w:pPr>
        <w:pStyle w:val="3"/>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8"/>
        <w:ind w:left="683"/>
        <w:rPr>
          <w:rFonts w:hint="eastAsia" w:eastAsia="宋体"/>
          <w:color w:val="auto"/>
          <w:lang w:eastAsia="zh-CN"/>
        </w:rPr>
      </w:pPr>
      <w:r>
        <w:rPr>
          <w:color w:val="auto"/>
        </w:rPr>
        <w:t>供应商编制文件须知</w:t>
      </w:r>
      <w:r>
        <w:rPr>
          <w:rFonts w:hint="eastAsia"/>
          <w:color w:val="auto"/>
          <w:lang w:eastAsia="zh-CN"/>
        </w:rPr>
        <w:t>：</w:t>
      </w:r>
    </w:p>
    <w:p>
      <w:pPr>
        <w:pStyle w:val="8"/>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8"/>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内比选</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院内比选</w:t>
      </w:r>
      <w:r>
        <w:rPr>
          <w:color w:val="auto"/>
          <w:highlight w:val="none"/>
        </w:rPr>
        <w:t>文件未提供格式的内容，可由供应商自行编写。</w:t>
      </w:r>
    </w:p>
    <w:p>
      <w:pPr>
        <w:pStyle w:val="8"/>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560" w:bottom="969" w:left="1160" w:header="879" w:footer="892" w:gutter="0"/>
          <w:cols w:space="720" w:num="1"/>
        </w:sectPr>
      </w:pPr>
    </w:p>
    <w:p>
      <w:pPr>
        <w:pStyle w:val="8"/>
        <w:spacing w:before="7"/>
        <w:rPr>
          <w:color w:val="auto"/>
          <w:sz w:val="19"/>
        </w:rPr>
      </w:pPr>
    </w:p>
    <w:p>
      <w:pPr>
        <w:pStyle w:val="8"/>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8"/>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18"/>
        <w:numPr>
          <w:ilvl w:val="0"/>
          <w:numId w:val="7"/>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18"/>
        <w:numPr>
          <w:ilvl w:val="1"/>
          <w:numId w:val="7"/>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7"/>
        </w:numPr>
        <w:tabs>
          <w:tab w:val="left" w:pos="1053"/>
        </w:tabs>
        <w:spacing w:before="72" w:after="0" w:line="240" w:lineRule="auto"/>
        <w:ind w:left="1052" w:right="0" w:hanging="512"/>
        <w:jc w:val="left"/>
        <w:rPr>
          <w:color w:val="auto"/>
          <w:sz w:val="24"/>
        </w:rPr>
      </w:pPr>
      <w:r>
        <w:rPr>
          <w:color w:val="auto"/>
          <w:sz w:val="24"/>
        </w:rPr>
        <w:t>供应商资格声明书</w:t>
      </w:r>
    </w:p>
    <w:p>
      <w:pPr>
        <w:pStyle w:val="8"/>
        <w:spacing w:before="5"/>
        <w:jc w:val="center"/>
        <w:rPr>
          <w:b/>
          <w:bCs/>
          <w:color w:val="auto"/>
          <w:sz w:val="36"/>
          <w:szCs w:val="36"/>
        </w:rPr>
      </w:pPr>
      <w:r>
        <w:rPr>
          <w:b/>
          <w:bCs/>
          <w:color w:val="auto"/>
          <w:sz w:val="36"/>
          <w:szCs w:val="36"/>
        </w:rPr>
        <w:t>供应商资格声明书</w:t>
      </w:r>
    </w:p>
    <w:p>
      <w:pPr>
        <w:pStyle w:val="8"/>
        <w:spacing w:before="12"/>
        <w:rPr>
          <w:color w:val="auto"/>
          <w:sz w:val="27"/>
        </w:rPr>
      </w:pPr>
    </w:p>
    <w:p>
      <w:pPr>
        <w:pStyle w:val="8"/>
        <w:spacing w:before="66"/>
        <w:ind w:left="541"/>
        <w:rPr>
          <w:color w:val="auto"/>
        </w:rPr>
      </w:pPr>
      <w:r>
        <w:rPr>
          <w:color w:val="auto"/>
        </w:rPr>
        <w:t>致：</w:t>
      </w:r>
      <w:r>
        <w:rPr>
          <w:color w:val="auto"/>
          <w:u w:val="single"/>
        </w:rPr>
        <w:t>采购人或采购代理机构</w:t>
      </w:r>
    </w:p>
    <w:p>
      <w:pPr>
        <w:pStyle w:val="8"/>
        <w:spacing w:before="161"/>
        <w:ind w:left="1021"/>
        <w:rPr>
          <w:color w:val="auto"/>
        </w:rPr>
      </w:pPr>
      <w:r>
        <w:rPr>
          <w:color w:val="auto"/>
        </w:rPr>
        <w:t>在参与本次项目</w:t>
      </w:r>
      <w:r>
        <w:rPr>
          <w:rFonts w:hint="eastAsia"/>
          <w:color w:val="auto"/>
          <w:lang w:eastAsia="zh-CN"/>
        </w:rPr>
        <w:t>比选</w:t>
      </w:r>
      <w:r>
        <w:rPr>
          <w:color w:val="auto"/>
        </w:rPr>
        <w:t>中，我单位承诺：</w:t>
      </w:r>
    </w:p>
    <w:p>
      <w:pPr>
        <w:pStyle w:val="8"/>
        <w:spacing w:before="158"/>
        <w:ind w:left="954"/>
        <w:rPr>
          <w:color w:val="auto"/>
        </w:rPr>
      </w:pPr>
      <w:r>
        <w:rPr>
          <w:color w:val="auto"/>
        </w:rPr>
        <w:t>（一）具有良好的商业信誉和健全的财务会计制度；</w:t>
      </w:r>
    </w:p>
    <w:p>
      <w:pPr>
        <w:pStyle w:val="8"/>
        <w:spacing w:before="158"/>
        <w:ind w:left="954"/>
        <w:rPr>
          <w:color w:val="auto"/>
        </w:rPr>
      </w:pPr>
      <w:r>
        <w:rPr>
          <w:color w:val="auto"/>
        </w:rPr>
        <w:t>（二）具有履行合同所必需的设备和专业技术能力；</w:t>
      </w:r>
    </w:p>
    <w:p>
      <w:pPr>
        <w:pStyle w:val="8"/>
        <w:spacing w:before="160"/>
        <w:ind w:left="954"/>
        <w:rPr>
          <w:color w:val="auto"/>
        </w:rPr>
      </w:pPr>
      <w:r>
        <w:rPr>
          <w:color w:val="auto"/>
        </w:rPr>
        <w:t>（三）有依法缴纳税收和社会保障资金的良好记录；</w:t>
      </w:r>
    </w:p>
    <w:p>
      <w:pPr>
        <w:pStyle w:val="8"/>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8"/>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8"/>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3"/>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6"/>
              <w:ind w:left="215" w:right="205"/>
              <w:jc w:val="center"/>
              <w:rPr>
                <w:color w:val="auto"/>
                <w:sz w:val="24"/>
              </w:rPr>
            </w:pPr>
            <w:r>
              <w:rPr>
                <w:color w:val="auto"/>
                <w:sz w:val="24"/>
              </w:rPr>
              <w:t>序号</w:t>
            </w:r>
          </w:p>
        </w:tc>
        <w:tc>
          <w:tcPr>
            <w:tcW w:w="4574" w:type="dxa"/>
          </w:tcPr>
          <w:p>
            <w:pPr>
              <w:pStyle w:val="19"/>
              <w:spacing w:before="56"/>
              <w:ind w:left="1787" w:right="1776"/>
              <w:jc w:val="center"/>
              <w:rPr>
                <w:color w:val="auto"/>
                <w:sz w:val="24"/>
              </w:rPr>
            </w:pPr>
            <w:r>
              <w:rPr>
                <w:color w:val="auto"/>
                <w:sz w:val="24"/>
              </w:rPr>
              <w:t>单位名称</w:t>
            </w:r>
          </w:p>
        </w:tc>
        <w:tc>
          <w:tcPr>
            <w:tcW w:w="2976" w:type="dxa"/>
          </w:tcPr>
          <w:p>
            <w:pPr>
              <w:pStyle w:val="19"/>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9"/>
              <w:spacing w:before="51"/>
              <w:ind w:left="9"/>
              <w:jc w:val="center"/>
              <w:rPr>
                <w:rFonts w:ascii="Tahoma"/>
                <w:color w:val="auto"/>
                <w:sz w:val="24"/>
              </w:rPr>
            </w:pPr>
            <w:r>
              <w:rPr>
                <w:rFonts w:ascii="Tahoma"/>
                <w:color w:val="auto"/>
                <w:w w:val="116"/>
                <w:sz w:val="24"/>
              </w:rPr>
              <w:t>1</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9"/>
              <w:jc w:val="center"/>
              <w:rPr>
                <w:rFonts w:ascii="Tahoma"/>
                <w:color w:val="auto"/>
                <w:sz w:val="24"/>
              </w:rPr>
            </w:pPr>
            <w:r>
              <w:rPr>
                <w:rFonts w:ascii="Tahoma"/>
                <w:color w:val="auto"/>
                <w:w w:val="116"/>
                <w:sz w:val="24"/>
              </w:rPr>
              <w:t>2</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bl>
    <w:p>
      <w:pPr>
        <w:pStyle w:val="8"/>
        <w:spacing w:before="10"/>
        <w:rPr>
          <w:color w:val="auto"/>
          <w:sz w:val="18"/>
        </w:rPr>
      </w:pPr>
    </w:p>
    <w:p>
      <w:pPr>
        <w:pStyle w:val="8"/>
        <w:ind w:left="1021"/>
        <w:rPr>
          <w:color w:val="auto"/>
        </w:rPr>
      </w:pPr>
      <w:r>
        <w:rPr>
          <w:color w:val="auto"/>
        </w:rPr>
        <w:t>上述声明真实有效，否则我方负全部责任。</w:t>
      </w:r>
    </w:p>
    <w:p>
      <w:pPr>
        <w:pStyle w:val="8"/>
        <w:rPr>
          <w:color w:val="auto"/>
          <w:sz w:val="35"/>
        </w:rPr>
      </w:pPr>
    </w:p>
    <w:p>
      <w:pPr>
        <w:pStyle w:val="8"/>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8"/>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18"/>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8"/>
        <w:rPr>
          <w:color w:val="auto"/>
          <w:sz w:val="20"/>
        </w:rPr>
      </w:pPr>
    </w:p>
    <w:p>
      <w:pPr>
        <w:pStyle w:val="8"/>
        <w:spacing w:before="4"/>
        <w:rPr>
          <w:color w:val="auto"/>
          <w:sz w:val="21"/>
        </w:rPr>
      </w:pPr>
    </w:p>
    <w:p>
      <w:pPr>
        <w:pStyle w:val="3"/>
        <w:spacing w:before="49"/>
        <w:ind w:right="32"/>
        <w:rPr>
          <w:color w:val="auto"/>
        </w:rPr>
      </w:pPr>
      <w:r>
        <w:rPr>
          <w:color w:val="auto"/>
        </w:rPr>
        <w:t>响应书</w:t>
      </w:r>
    </w:p>
    <w:p>
      <w:pPr>
        <w:pStyle w:val="8"/>
        <w:spacing w:before="7"/>
        <w:rPr>
          <w:color w:val="auto"/>
          <w:sz w:val="13"/>
        </w:rPr>
      </w:pPr>
    </w:p>
    <w:p>
      <w:pPr>
        <w:pStyle w:val="8"/>
        <w:spacing w:before="66"/>
        <w:ind w:left="541"/>
        <w:rPr>
          <w:color w:val="auto"/>
        </w:rPr>
      </w:pPr>
      <w:r>
        <w:rPr>
          <w:color w:val="auto"/>
          <w:spacing w:val="-60"/>
        </w:rPr>
        <w:t>致：</w:t>
      </w:r>
      <w:r>
        <w:rPr>
          <w:color w:val="auto"/>
          <w:u w:val="single"/>
        </w:rPr>
        <w:t>（采购人或采购代理机构）</w:t>
      </w:r>
    </w:p>
    <w:p>
      <w:pPr>
        <w:pStyle w:val="8"/>
        <w:rPr>
          <w:color w:val="auto"/>
          <w:sz w:val="20"/>
        </w:rPr>
      </w:pPr>
    </w:p>
    <w:p>
      <w:pPr>
        <w:pStyle w:val="8"/>
        <w:spacing w:before="8"/>
        <w:rPr>
          <w:color w:val="auto"/>
          <w:sz w:val="18"/>
        </w:rPr>
      </w:pPr>
    </w:p>
    <w:p>
      <w:pPr>
        <w:pStyle w:val="8"/>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比选</w:t>
      </w:r>
      <w:r>
        <w:rPr>
          <w:color w:val="auto"/>
        </w:rPr>
        <w:t>。</w:t>
      </w:r>
    </w:p>
    <w:p>
      <w:pPr>
        <w:pStyle w:val="18"/>
        <w:numPr>
          <w:ilvl w:val="0"/>
          <w:numId w:val="8"/>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比选</w:t>
      </w:r>
      <w:r>
        <w:rPr>
          <w:color w:val="auto"/>
          <w:sz w:val="24"/>
        </w:rPr>
        <w:t>文件，自愿参与</w:t>
      </w:r>
      <w:r>
        <w:rPr>
          <w:rFonts w:hint="eastAsia"/>
          <w:color w:val="auto"/>
          <w:sz w:val="24"/>
          <w:lang w:eastAsia="zh-CN"/>
        </w:rPr>
        <w:t>比选</w:t>
      </w:r>
      <w:r>
        <w:rPr>
          <w:color w:val="auto"/>
          <w:sz w:val="24"/>
        </w:rPr>
        <w:t>并承诺如下：</w:t>
      </w:r>
    </w:p>
    <w:p>
      <w:pPr>
        <w:pStyle w:val="18"/>
        <w:numPr>
          <w:ilvl w:val="0"/>
          <w:numId w:val="9"/>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18"/>
        <w:numPr>
          <w:ilvl w:val="0"/>
          <w:numId w:val="9"/>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比选</w:t>
      </w:r>
      <w:r>
        <w:rPr>
          <w:color w:val="auto"/>
          <w:sz w:val="24"/>
        </w:rPr>
        <w:t>文件的全部要求。</w:t>
      </w:r>
    </w:p>
    <w:p>
      <w:pPr>
        <w:pStyle w:val="18"/>
        <w:numPr>
          <w:ilvl w:val="0"/>
          <w:numId w:val="9"/>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18"/>
        <w:numPr>
          <w:ilvl w:val="0"/>
          <w:numId w:val="9"/>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18"/>
        <w:numPr>
          <w:ilvl w:val="0"/>
          <w:numId w:val="8"/>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8"/>
        <w:spacing w:before="158"/>
        <w:ind w:left="1021"/>
        <w:rPr>
          <w:color w:val="auto"/>
        </w:rPr>
      </w:pPr>
      <w:r>
        <w:rPr>
          <w:color w:val="auto"/>
        </w:rPr>
        <w:t>与本</w:t>
      </w:r>
      <w:r>
        <w:rPr>
          <w:rFonts w:hint="eastAsia"/>
          <w:color w:val="auto"/>
          <w:lang w:eastAsia="zh-CN"/>
        </w:rPr>
        <w:t>比选</w:t>
      </w:r>
      <w:r>
        <w:rPr>
          <w:color w:val="auto"/>
        </w:rPr>
        <w:t>有关的一切正式往来信函请寄：</w:t>
      </w:r>
    </w:p>
    <w:p>
      <w:pPr>
        <w:pStyle w:val="8"/>
        <w:rPr>
          <w:color w:val="auto"/>
        </w:rPr>
      </w:pPr>
    </w:p>
    <w:p>
      <w:pPr>
        <w:pStyle w:val="8"/>
        <w:spacing w:before="1"/>
        <w:rPr>
          <w:color w:val="auto"/>
          <w:sz w:val="21"/>
        </w:rPr>
      </w:pPr>
    </w:p>
    <w:p>
      <w:pPr>
        <w:pStyle w:val="8"/>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18"/>
        </w:rPr>
      </w:pPr>
    </w:p>
    <w:p>
      <w:pPr>
        <w:pStyle w:val="8"/>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18"/>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8"/>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8"/>
        <w:spacing w:before="12"/>
        <w:rPr>
          <w:color w:val="auto"/>
          <w:sz w:val="12"/>
        </w:rPr>
      </w:pPr>
    </w:p>
    <w:p>
      <w:pPr>
        <w:pStyle w:val="8"/>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8"/>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8"/>
        <w:spacing w:before="2"/>
        <w:rPr>
          <w:color w:val="auto"/>
          <w:sz w:val="33"/>
        </w:rPr>
      </w:pPr>
    </w:p>
    <w:p>
      <w:pPr>
        <w:pStyle w:val="8"/>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rPr>
          <w:color w:val="auto"/>
          <w:sz w:val="26"/>
        </w:rPr>
      </w:pPr>
    </w:p>
    <w:p>
      <w:pPr>
        <w:pStyle w:val="8"/>
        <w:spacing w:before="2"/>
        <w:rPr>
          <w:color w:val="auto"/>
          <w:sz w:val="19"/>
        </w:rPr>
      </w:pPr>
    </w:p>
    <w:p>
      <w:pPr>
        <w:pStyle w:val="8"/>
        <w:ind w:left="541"/>
        <w:rPr>
          <w:color w:val="auto"/>
        </w:rPr>
      </w:pPr>
      <w:r>
        <w:rPr>
          <w:color w:val="auto"/>
        </w:rPr>
        <w:t>附：法定代表人及委托代理人身份证明文件电子件：</w:t>
      </w:r>
    </w:p>
    <w:p>
      <w:pPr>
        <w:pStyle w:val="8"/>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8"/>
        <w:spacing w:line="281" w:lineRule="exact"/>
        <w:ind w:left="541"/>
        <w:rPr>
          <w:color w:val="auto"/>
        </w:rPr>
      </w:pPr>
      <w:r>
        <w:rPr>
          <w:color w:val="auto"/>
        </w:rPr>
        <w:t>说明：</w:t>
      </w:r>
    </w:p>
    <w:p>
      <w:pPr>
        <w:pStyle w:val="18"/>
        <w:numPr>
          <w:ilvl w:val="0"/>
          <w:numId w:val="10"/>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18"/>
        <w:numPr>
          <w:ilvl w:val="0"/>
          <w:numId w:val="10"/>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18"/>
        <w:numPr>
          <w:ilvl w:val="0"/>
          <w:numId w:val="10"/>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18"/>
        <w:numPr>
          <w:ilvl w:val="0"/>
          <w:numId w:val="10"/>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8"/>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8"/>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spacing w:before="10"/>
        <w:rPr>
          <w:rFonts w:ascii="Times New Roman"/>
          <w:color w:val="auto"/>
          <w:sz w:val="25"/>
        </w:rPr>
      </w:pPr>
    </w:p>
    <w:p>
      <w:pPr>
        <w:pStyle w:val="8"/>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8"/>
        <w:rPr>
          <w:color w:val="auto"/>
          <w:sz w:val="26"/>
        </w:rPr>
      </w:pPr>
    </w:p>
    <w:p>
      <w:pPr>
        <w:pStyle w:val="8"/>
        <w:rPr>
          <w:color w:val="auto"/>
          <w:sz w:val="26"/>
        </w:rPr>
      </w:pPr>
    </w:p>
    <w:p>
      <w:pPr>
        <w:pStyle w:val="8"/>
        <w:spacing w:before="4"/>
        <w:rPr>
          <w:color w:val="auto"/>
          <w:sz w:val="28"/>
        </w:rPr>
      </w:pPr>
    </w:p>
    <w:p>
      <w:pPr>
        <w:pStyle w:val="8"/>
        <w:spacing w:before="1"/>
        <w:ind w:left="541"/>
        <w:rPr>
          <w:color w:val="auto"/>
        </w:rPr>
      </w:pPr>
      <w:r>
        <w:rPr>
          <w:color w:val="auto"/>
        </w:rPr>
        <w:t>附：法定代表人（单位负责人）身份证、护照等身份证明文件电子件：</w:t>
      </w:r>
    </w:p>
    <w:p>
      <w:pPr>
        <w:pStyle w:val="8"/>
        <w:rPr>
          <w:color w:val="auto"/>
          <w:sz w:val="20"/>
        </w:rPr>
      </w:pPr>
    </w:p>
    <w:p>
      <w:pPr>
        <w:pStyle w:val="8"/>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8"/>
        <w:rPr>
          <w:color w:val="auto"/>
          <w:sz w:val="20"/>
        </w:rPr>
      </w:pPr>
    </w:p>
    <w:p>
      <w:pPr>
        <w:pStyle w:val="8"/>
        <w:rPr>
          <w:color w:val="auto"/>
          <w:sz w:val="20"/>
        </w:rPr>
      </w:pPr>
    </w:p>
    <w:p>
      <w:pPr>
        <w:pStyle w:val="8"/>
        <w:spacing w:before="4"/>
        <w:rPr>
          <w:color w:val="auto"/>
          <w:sz w:val="20"/>
        </w:rPr>
      </w:pPr>
    </w:p>
    <w:p>
      <w:pPr>
        <w:pStyle w:val="8"/>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8"/>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p>
    <w:p>
      <w:pPr>
        <w:pStyle w:val="8"/>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8"/>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7"/>
        <w:rPr>
          <w:rFonts w:ascii="Times New Roman"/>
          <w:color w:val="auto"/>
          <w:sz w:val="13"/>
        </w:rPr>
      </w:pPr>
    </w:p>
    <w:tbl>
      <w:tblPr>
        <w:tblStyle w:val="13"/>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服务名称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比选</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比选</w:t>
            </w:r>
            <w:r>
              <w:rPr>
                <w:rFonts w:hint="eastAsia" w:ascii="宋体" w:hAnsi="宋体"/>
                <w:color w:val="auto"/>
                <w:sz w:val="24"/>
              </w:rPr>
              <w:t>报价包含：</w:t>
            </w:r>
          </w:p>
          <w:p>
            <w:pPr>
              <w:pStyle w:val="8"/>
              <w:rPr>
                <w:rFonts w:hint="eastAsia"/>
                <w:color w:val="auto"/>
              </w:rPr>
            </w:pPr>
            <w:r>
              <w:rPr>
                <w:rFonts w:hint="eastAsia"/>
                <w:color w:val="auto"/>
              </w:rPr>
              <w:t>（1）完成采购人指定服务内容的基本费用；</w:t>
            </w:r>
          </w:p>
          <w:p>
            <w:pPr>
              <w:pStyle w:val="8"/>
              <w:rPr>
                <w:rFonts w:hint="eastAsia"/>
                <w:color w:val="auto"/>
              </w:rPr>
            </w:pPr>
            <w:r>
              <w:rPr>
                <w:rFonts w:hint="eastAsia"/>
                <w:color w:val="auto"/>
              </w:rPr>
              <w:t>（2）完成项目所需的全部人工费用（包含但不限于派出工作人员的交通费、住宿费、伙食补助费）；</w:t>
            </w:r>
          </w:p>
          <w:p>
            <w:pPr>
              <w:pStyle w:val="8"/>
              <w:rPr>
                <w:rFonts w:hint="eastAsia"/>
                <w:color w:val="auto"/>
              </w:rPr>
            </w:pPr>
            <w:r>
              <w:rPr>
                <w:rFonts w:hint="eastAsia"/>
                <w:color w:val="auto"/>
              </w:rPr>
              <w:t>（3）其他费用（包括但不限于运输相关仪器设备的邮寄费、知识产权、技术支持、售后服务等费用）；</w:t>
            </w:r>
          </w:p>
          <w:p>
            <w:pPr>
              <w:pStyle w:val="8"/>
              <w:rPr>
                <w:rFonts w:hint="eastAsia"/>
                <w:color w:val="auto"/>
              </w:rPr>
            </w:pPr>
            <w:r>
              <w:rPr>
                <w:rFonts w:hint="eastAsia"/>
                <w:color w:val="auto"/>
              </w:rPr>
              <w:t>（4）必要的保险费用和各项税费等一切完成本项目服务所需要的费用。</w:t>
            </w:r>
          </w:p>
        </w:tc>
      </w:tr>
    </w:tbl>
    <w:p>
      <w:pPr>
        <w:pStyle w:val="9"/>
        <w:rPr>
          <w:color w:val="auto"/>
        </w:rPr>
      </w:pPr>
    </w:p>
    <w:p>
      <w:pPr>
        <w:pStyle w:val="8"/>
        <w:spacing w:before="3"/>
        <w:rPr>
          <w:rFonts w:ascii="Times New Roman"/>
          <w:color w:val="auto"/>
          <w:sz w:val="17"/>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10"/>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8"/>
        <w:rPr>
          <w:color w:val="auto"/>
          <w:sz w:val="28"/>
        </w:rPr>
      </w:pPr>
    </w:p>
    <w:p>
      <w:pPr>
        <w:pStyle w:val="8"/>
        <w:spacing w:before="3"/>
        <w:rPr>
          <w:color w:val="auto"/>
          <w:sz w:val="37"/>
        </w:rPr>
      </w:pPr>
    </w:p>
    <w:p>
      <w:pPr>
        <w:pStyle w:val="8"/>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8"/>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8"/>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10"/>
        <w:spacing w:line="400" w:lineRule="exact"/>
        <w:rPr>
          <w:rFonts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rPr>
          <w:rFonts w:hint="default"/>
          <w:color w:val="auto"/>
          <w:lang w:val="en-US" w:eastAsia="zh-CN"/>
        </w:rPr>
      </w:pPr>
    </w:p>
    <w:p>
      <w:pPr>
        <w:pStyle w:val="9"/>
        <w:rPr>
          <w:rFonts w:hint="default"/>
          <w:color w:val="auto"/>
          <w:lang w:val="en-US" w:eastAsia="zh-CN"/>
        </w:rPr>
      </w:pPr>
    </w:p>
    <w:p>
      <w:pPr>
        <w:pStyle w:val="9"/>
        <w:rPr>
          <w:rFonts w:hint="default"/>
          <w:color w:val="auto"/>
          <w:lang w:val="en-US" w:eastAsia="zh-CN"/>
        </w:rPr>
      </w:pPr>
    </w:p>
    <w:p>
      <w:pPr>
        <w:pStyle w:val="18"/>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8"/>
        <w:spacing w:before="3"/>
        <w:rPr>
          <w:color w:val="auto"/>
          <w:sz w:val="12"/>
        </w:rPr>
      </w:pPr>
    </w:p>
    <w:p>
      <w:pPr>
        <w:pStyle w:val="8"/>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8"/>
        <w:rPr>
          <w:rFonts w:ascii="Times New Roman"/>
          <w:color w:val="auto"/>
          <w:sz w:val="13"/>
        </w:rPr>
      </w:pPr>
    </w:p>
    <w:tbl>
      <w:tblPr>
        <w:tblStyle w:val="1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19"/>
              <w:spacing w:before="4"/>
              <w:rPr>
                <w:rFonts w:ascii="Times New Roman"/>
                <w:color w:val="auto"/>
                <w:sz w:val="32"/>
              </w:rPr>
            </w:pPr>
          </w:p>
          <w:p>
            <w:pPr>
              <w:pStyle w:val="19"/>
              <w:ind w:left="146"/>
              <w:rPr>
                <w:color w:val="auto"/>
                <w:sz w:val="24"/>
              </w:rPr>
            </w:pPr>
            <w:r>
              <w:rPr>
                <w:color w:val="auto"/>
                <w:sz w:val="24"/>
              </w:rPr>
              <w:t>序号</w:t>
            </w:r>
          </w:p>
        </w:tc>
        <w:tc>
          <w:tcPr>
            <w:tcW w:w="1482" w:type="dxa"/>
          </w:tcPr>
          <w:p>
            <w:pPr>
              <w:pStyle w:val="19"/>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院内比选</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19"/>
              <w:spacing w:before="4"/>
              <w:rPr>
                <w:rFonts w:ascii="Times New Roman"/>
                <w:color w:val="auto"/>
                <w:sz w:val="32"/>
              </w:rPr>
            </w:pPr>
          </w:p>
          <w:p>
            <w:pPr>
              <w:pStyle w:val="19"/>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19"/>
              <w:spacing w:before="4"/>
              <w:rPr>
                <w:rFonts w:ascii="Times New Roman"/>
                <w:color w:val="auto"/>
                <w:sz w:val="32"/>
              </w:rPr>
            </w:pPr>
          </w:p>
          <w:p>
            <w:pPr>
              <w:pStyle w:val="19"/>
              <w:ind w:left="583"/>
              <w:rPr>
                <w:color w:val="auto"/>
                <w:sz w:val="24"/>
              </w:rPr>
            </w:pPr>
            <w:r>
              <w:rPr>
                <w:color w:val="auto"/>
                <w:sz w:val="24"/>
              </w:rPr>
              <w:t>响应内容</w:t>
            </w:r>
          </w:p>
        </w:tc>
        <w:tc>
          <w:tcPr>
            <w:tcW w:w="1875" w:type="dxa"/>
          </w:tcPr>
          <w:p>
            <w:pPr>
              <w:pStyle w:val="19"/>
              <w:spacing w:before="4"/>
              <w:rPr>
                <w:rFonts w:ascii="Times New Roman"/>
                <w:color w:val="auto"/>
                <w:sz w:val="32"/>
              </w:rPr>
            </w:pPr>
          </w:p>
          <w:p>
            <w:pPr>
              <w:pStyle w:val="19"/>
              <w:ind w:left="456"/>
              <w:rPr>
                <w:color w:val="auto"/>
                <w:sz w:val="24"/>
              </w:rPr>
            </w:pPr>
            <w:r>
              <w:rPr>
                <w:color w:val="auto"/>
                <w:sz w:val="24"/>
              </w:rPr>
              <w:t>偏离情况</w:t>
            </w:r>
          </w:p>
        </w:tc>
        <w:tc>
          <w:tcPr>
            <w:tcW w:w="1009" w:type="dxa"/>
          </w:tcPr>
          <w:p>
            <w:pPr>
              <w:pStyle w:val="19"/>
              <w:spacing w:before="4"/>
              <w:rPr>
                <w:rFonts w:ascii="Times New Roman"/>
                <w:color w:val="auto"/>
                <w:sz w:val="32"/>
              </w:rPr>
            </w:pPr>
          </w:p>
          <w:p>
            <w:pPr>
              <w:pStyle w:val="19"/>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bl>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7"/>
        </w:rPr>
      </w:pPr>
    </w:p>
    <w:p>
      <w:pPr>
        <w:pStyle w:val="8"/>
        <w:spacing w:before="67"/>
        <w:ind w:left="401"/>
        <w:rPr>
          <w:color w:val="auto"/>
        </w:rPr>
      </w:pPr>
      <w:r>
        <w:rPr>
          <w:color w:val="auto"/>
        </w:rPr>
        <w:t>注：</w:t>
      </w:r>
    </w:p>
    <w:p>
      <w:pPr>
        <w:pStyle w:val="18"/>
        <w:numPr>
          <w:ilvl w:val="0"/>
          <w:numId w:val="11"/>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比选</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8"/>
        <w:rPr>
          <w:color w:val="auto"/>
          <w:sz w:val="28"/>
        </w:rPr>
      </w:pPr>
    </w:p>
    <w:p>
      <w:pPr>
        <w:pStyle w:val="8"/>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18"/>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比选</w:t>
      </w:r>
      <w:r>
        <w:rPr>
          <w:color w:val="auto"/>
          <w:sz w:val="24"/>
        </w:rPr>
        <w:t>文件要求提供或供应商认为应附的其他材</w:t>
      </w:r>
      <w:r>
        <w:rPr>
          <w:rFonts w:hint="eastAsia"/>
          <w:color w:val="auto"/>
          <w:sz w:val="24"/>
          <w:lang w:eastAsia="zh-CN"/>
        </w:rPr>
        <w:t>料。</w:t>
      </w: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请将以上比选响应文件密封装订成册（一式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3">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4">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5">
    <w:nsid w:val="024A6F86"/>
    <w:multiLevelType w:val="singleLevel"/>
    <w:tmpl w:val="024A6F86"/>
    <w:lvl w:ilvl="0" w:tentative="0">
      <w:start w:val="1"/>
      <w:numFmt w:val="chineseCounting"/>
      <w:suff w:val="nothing"/>
      <w:lvlText w:val="%1、"/>
      <w:lvlJc w:val="left"/>
      <w:rPr>
        <w:rFonts w:hint="eastAsia"/>
      </w:rPr>
    </w:lvl>
  </w:abstractNum>
  <w:abstractNum w:abstractNumId="6">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7">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8">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9">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0">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0"/>
  </w:num>
  <w:num w:numId="3">
    <w:abstractNumId w:val="0"/>
  </w:num>
  <w:num w:numId="4">
    <w:abstractNumId w:val="9"/>
  </w:num>
  <w:num w:numId="5">
    <w:abstractNumId w:val="2"/>
  </w:num>
  <w:num w:numId="6">
    <w:abstractNumId w:val="5"/>
  </w:num>
  <w:num w:numId="7">
    <w:abstractNumId w:val="3"/>
  </w:num>
  <w:num w:numId="8">
    <w:abstractNumId w:val="6"/>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2756715"/>
    <w:rsid w:val="02F0126A"/>
    <w:rsid w:val="036B1920"/>
    <w:rsid w:val="038E2130"/>
    <w:rsid w:val="03C43F6D"/>
    <w:rsid w:val="03D2494A"/>
    <w:rsid w:val="03F64F74"/>
    <w:rsid w:val="04187324"/>
    <w:rsid w:val="047362AF"/>
    <w:rsid w:val="0538206F"/>
    <w:rsid w:val="05904A85"/>
    <w:rsid w:val="06D84747"/>
    <w:rsid w:val="07BF19EB"/>
    <w:rsid w:val="07F32417"/>
    <w:rsid w:val="0807327E"/>
    <w:rsid w:val="09E923FF"/>
    <w:rsid w:val="0A9440C1"/>
    <w:rsid w:val="0B2A6903"/>
    <w:rsid w:val="0B607D66"/>
    <w:rsid w:val="0BFF42F6"/>
    <w:rsid w:val="0E706EB7"/>
    <w:rsid w:val="0F6246F4"/>
    <w:rsid w:val="0F834FD0"/>
    <w:rsid w:val="100020FB"/>
    <w:rsid w:val="12D4132A"/>
    <w:rsid w:val="13B62E1E"/>
    <w:rsid w:val="13F659D1"/>
    <w:rsid w:val="14643FA6"/>
    <w:rsid w:val="14C03B59"/>
    <w:rsid w:val="161D02B3"/>
    <w:rsid w:val="16A9163B"/>
    <w:rsid w:val="176628D4"/>
    <w:rsid w:val="18BE3CE8"/>
    <w:rsid w:val="18C50120"/>
    <w:rsid w:val="1A3E038F"/>
    <w:rsid w:val="1B6E0BCC"/>
    <w:rsid w:val="1BC34E17"/>
    <w:rsid w:val="1C251D99"/>
    <w:rsid w:val="1DB80F0C"/>
    <w:rsid w:val="1E543D83"/>
    <w:rsid w:val="1EBD55A1"/>
    <w:rsid w:val="201A656F"/>
    <w:rsid w:val="20A51E25"/>
    <w:rsid w:val="211D570C"/>
    <w:rsid w:val="228725DE"/>
    <w:rsid w:val="24DF25D0"/>
    <w:rsid w:val="256F103A"/>
    <w:rsid w:val="25BF5B48"/>
    <w:rsid w:val="25E6248E"/>
    <w:rsid w:val="2881591F"/>
    <w:rsid w:val="298C16C1"/>
    <w:rsid w:val="2A543414"/>
    <w:rsid w:val="2AFB1BBB"/>
    <w:rsid w:val="2C0A5A42"/>
    <w:rsid w:val="2C124F95"/>
    <w:rsid w:val="2DBB0EAC"/>
    <w:rsid w:val="2F6977E8"/>
    <w:rsid w:val="2FF44D70"/>
    <w:rsid w:val="303F1B97"/>
    <w:rsid w:val="32885919"/>
    <w:rsid w:val="33631031"/>
    <w:rsid w:val="34361FA2"/>
    <w:rsid w:val="346A009E"/>
    <w:rsid w:val="355671A5"/>
    <w:rsid w:val="35800CB4"/>
    <w:rsid w:val="36C268A9"/>
    <w:rsid w:val="37272250"/>
    <w:rsid w:val="37845B61"/>
    <w:rsid w:val="37972846"/>
    <w:rsid w:val="37C517E0"/>
    <w:rsid w:val="383617E9"/>
    <w:rsid w:val="38780EBB"/>
    <w:rsid w:val="39D363F6"/>
    <w:rsid w:val="3A08321C"/>
    <w:rsid w:val="3B8A7844"/>
    <w:rsid w:val="3BF57787"/>
    <w:rsid w:val="3C2A7F4B"/>
    <w:rsid w:val="3D113A52"/>
    <w:rsid w:val="3E592BE4"/>
    <w:rsid w:val="3EA31EB5"/>
    <w:rsid w:val="408A0D6F"/>
    <w:rsid w:val="41710D8A"/>
    <w:rsid w:val="428A5C7C"/>
    <w:rsid w:val="43721BCC"/>
    <w:rsid w:val="43FB2177"/>
    <w:rsid w:val="44E63B52"/>
    <w:rsid w:val="48BA6272"/>
    <w:rsid w:val="4995270F"/>
    <w:rsid w:val="49A543A0"/>
    <w:rsid w:val="4A600E45"/>
    <w:rsid w:val="4AF94F7C"/>
    <w:rsid w:val="4C683798"/>
    <w:rsid w:val="4CA3155E"/>
    <w:rsid w:val="4CF27BAD"/>
    <w:rsid w:val="4DAA771E"/>
    <w:rsid w:val="4E54029B"/>
    <w:rsid w:val="4E8106C2"/>
    <w:rsid w:val="4E9B5BCF"/>
    <w:rsid w:val="4E9D7DAC"/>
    <w:rsid w:val="4FC65897"/>
    <w:rsid w:val="50712DAD"/>
    <w:rsid w:val="50AC365B"/>
    <w:rsid w:val="51F0681A"/>
    <w:rsid w:val="52016D2F"/>
    <w:rsid w:val="55C26083"/>
    <w:rsid w:val="560C3F77"/>
    <w:rsid w:val="57D62237"/>
    <w:rsid w:val="585D6707"/>
    <w:rsid w:val="588B5B82"/>
    <w:rsid w:val="5893191D"/>
    <w:rsid w:val="58DF34DC"/>
    <w:rsid w:val="5A4C5316"/>
    <w:rsid w:val="5B2462A0"/>
    <w:rsid w:val="5CCF2E28"/>
    <w:rsid w:val="5D0D40F2"/>
    <w:rsid w:val="5FE4543D"/>
    <w:rsid w:val="5FE72927"/>
    <w:rsid w:val="60E358BA"/>
    <w:rsid w:val="61476D4A"/>
    <w:rsid w:val="61FA2939"/>
    <w:rsid w:val="624B2D13"/>
    <w:rsid w:val="62542052"/>
    <w:rsid w:val="62AC216E"/>
    <w:rsid w:val="62AC384C"/>
    <w:rsid w:val="637B390C"/>
    <w:rsid w:val="64216735"/>
    <w:rsid w:val="6459149C"/>
    <w:rsid w:val="650B1BC5"/>
    <w:rsid w:val="66B25CD3"/>
    <w:rsid w:val="677F2F1A"/>
    <w:rsid w:val="679556B8"/>
    <w:rsid w:val="67A501B3"/>
    <w:rsid w:val="68247332"/>
    <w:rsid w:val="68867B09"/>
    <w:rsid w:val="68EF5AD9"/>
    <w:rsid w:val="6AEB0553"/>
    <w:rsid w:val="6CEE1D54"/>
    <w:rsid w:val="6D1C133E"/>
    <w:rsid w:val="6D4C428C"/>
    <w:rsid w:val="6E3902C4"/>
    <w:rsid w:val="6E5A2940"/>
    <w:rsid w:val="70D41BF8"/>
    <w:rsid w:val="711D2BE3"/>
    <w:rsid w:val="714A1C51"/>
    <w:rsid w:val="730D0B63"/>
    <w:rsid w:val="73E5308D"/>
    <w:rsid w:val="74146A02"/>
    <w:rsid w:val="748138B6"/>
    <w:rsid w:val="74BA534B"/>
    <w:rsid w:val="762B6B78"/>
    <w:rsid w:val="770615D9"/>
    <w:rsid w:val="77D00DF3"/>
    <w:rsid w:val="789F6EA7"/>
    <w:rsid w:val="797B398B"/>
    <w:rsid w:val="79803471"/>
    <w:rsid w:val="79D26D3A"/>
    <w:rsid w:val="7B1340D7"/>
    <w:rsid w:val="7BEB5A71"/>
    <w:rsid w:val="7D6518E6"/>
    <w:rsid w:val="7D745F6D"/>
    <w:rsid w:val="7DA93C28"/>
    <w:rsid w:val="7E7F4C94"/>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annotation text"/>
    <w:basedOn w:val="1"/>
    <w:qFormat/>
    <w:uiPriority w:val="0"/>
    <w:pPr>
      <w:jc w:val="left"/>
    </w:pPr>
  </w:style>
  <w:style w:type="paragraph" w:styleId="8">
    <w:name w:val="Body Text"/>
    <w:basedOn w:val="1"/>
    <w:next w:val="9"/>
    <w:qFormat/>
    <w:uiPriority w:val="1"/>
    <w:rPr>
      <w:rFonts w:ascii="宋体" w:hAnsi="宋体" w:eastAsia="宋体" w:cs="宋体"/>
      <w:sz w:val="24"/>
      <w:szCs w:val="24"/>
      <w:lang w:val="en-US" w:eastAsia="zh-CN" w:bidi="ar-SA"/>
    </w:rPr>
  </w:style>
  <w:style w:type="paragraph" w:customStyle="1" w:styleId="9">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styleId="10">
    <w:name w:val="Plain Text"/>
    <w:basedOn w:val="1"/>
    <w:next w:val="6"/>
    <w:qFormat/>
    <w:uiPriority w:val="0"/>
    <w:rPr>
      <w:rFonts w:ascii="宋体" w:hAnsi="Courier New" w:cs="Courier New"/>
      <w:szCs w:val="21"/>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首行缩进:  2 字符"/>
    <w:basedOn w:val="1"/>
    <w:qFormat/>
    <w:uiPriority w:val="0"/>
    <w:pPr>
      <w:spacing w:line="400" w:lineRule="exact"/>
      <w:ind w:firstLine="200" w:firstLineChars="200"/>
    </w:pPr>
    <w:rPr>
      <w:rFonts w:cs="宋体"/>
      <w:sz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616" w:hanging="720"/>
    </w:pPr>
    <w:rPr>
      <w:rFonts w:ascii="宋体" w:hAnsi="宋体" w:eastAsia="宋体" w:cs="宋体"/>
      <w:lang w:val="en-US" w:eastAsia="zh-CN" w:bidi="ar-SA"/>
    </w:rPr>
  </w:style>
  <w:style w:type="paragraph" w:customStyle="1" w:styleId="19">
    <w:name w:val="Table Paragraph"/>
    <w:basedOn w:val="1"/>
    <w:qFormat/>
    <w:uiPriority w:val="1"/>
    <w:rPr>
      <w:rFonts w:ascii="宋体" w:hAnsi="宋体" w:eastAsia="宋体" w:cs="宋体"/>
      <w:lang w:val="en-US" w:eastAsia="zh-CN" w:bidi="ar-SA"/>
    </w:rPr>
  </w:style>
  <w:style w:type="paragraph" w:customStyle="1" w:styleId="20">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1">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2841</Words>
  <Characters>2954</Characters>
  <TotalTime>9</TotalTime>
  <ScaleCrop>false</ScaleCrop>
  <LinksUpToDate>false</LinksUpToDate>
  <CharactersWithSpaces>3037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欧海燕</cp:lastModifiedBy>
  <dcterms:modified xsi:type="dcterms:W3CDTF">2025-04-29T10:09:45Z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F2DAB1FD72964B76944C65FE714C61B4_13</vt:lpwstr>
  </property>
  <property fmtid="{D5CDD505-2E9C-101B-9397-08002B2CF9AE}" pid="6" name="KSOTemplateDocerSaveRecord">
    <vt:lpwstr>eyJoZGlkIjoiZDBlZDhiNjE0NDZmMTg1NDgxOTgyOTYyYWMxMThjY2UifQ==</vt:lpwstr>
  </property>
</Properties>
</file>