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auto"/>
          <w:sz w:val="36"/>
        </w:rPr>
      </w:pPr>
    </w:p>
    <w:p>
      <w:pPr>
        <w:pStyle w:val="7"/>
        <w:rPr>
          <w:color w:val="auto"/>
          <w:sz w:val="36"/>
        </w:rPr>
      </w:pPr>
    </w:p>
    <w:p>
      <w:pPr>
        <w:pStyle w:val="7"/>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院内比选文件</w:t>
      </w:r>
    </w:p>
    <w:p>
      <w:pPr>
        <w:pStyle w:val="7"/>
        <w:rPr>
          <w:color w:val="auto"/>
          <w:sz w:val="70"/>
        </w:rPr>
      </w:pPr>
    </w:p>
    <w:p>
      <w:pPr>
        <w:pStyle w:val="7"/>
        <w:rPr>
          <w:color w:val="auto"/>
          <w:sz w:val="94"/>
        </w:rPr>
      </w:pPr>
    </w:p>
    <w:p>
      <w:pPr>
        <w:pStyle w:val="3"/>
        <w:spacing w:before="0"/>
        <w:ind w:left="2517" w:leftChars="326" w:hanging="1800" w:hangingChars="500"/>
        <w:jc w:val="both"/>
        <w:rPr>
          <w:rFonts w:hint="eastAsia" w:ascii="宋体" w:hAnsi="宋体" w:eastAsia="宋体" w:cs="宋体"/>
          <w:color w:val="auto"/>
          <w:sz w:val="32"/>
          <w:szCs w:val="32"/>
          <w:lang w:eastAsia="zh-CN"/>
        </w:rPr>
      </w:pPr>
      <w:r>
        <w:rPr>
          <w:color w:val="auto"/>
        </w:rPr>
        <w:t>项目名称：</w:t>
      </w:r>
      <w:r>
        <w:rPr>
          <w:rFonts w:hint="eastAsia"/>
          <w:color w:val="auto"/>
        </w:rPr>
        <w:t>北海市妇幼保健院网络安全威胁态势感知系统年度维保服务</w:t>
      </w:r>
    </w:p>
    <w:p>
      <w:pPr>
        <w:ind w:firstLine="720" w:firstLineChars="200"/>
        <w:jc w:val="both"/>
        <w:rPr>
          <w:rFonts w:hint="default" w:ascii="宋体" w:hAnsi="宋体" w:eastAsia="宋体" w:cs="宋体"/>
          <w:color w:val="auto"/>
          <w:sz w:val="36"/>
          <w:szCs w:val="36"/>
          <w:lang w:val="en-US" w:eastAsia="zh-CN" w:bidi="ar-SA"/>
        </w:rPr>
      </w:pPr>
      <w:r>
        <w:rPr>
          <w:rFonts w:hint="eastAsia" w:ascii="宋体" w:hAnsi="宋体" w:eastAsia="宋体" w:cs="宋体"/>
          <w:color w:val="auto"/>
          <w:sz w:val="36"/>
          <w:szCs w:val="36"/>
          <w:lang w:val="en-US" w:eastAsia="zh-CN" w:bidi="ar-SA"/>
        </w:rPr>
        <w:t>项目编号：BHSFY-202500</w:t>
      </w:r>
      <w:r>
        <w:rPr>
          <w:rFonts w:hint="eastAsia" w:cs="宋体"/>
          <w:color w:val="auto"/>
          <w:sz w:val="36"/>
          <w:szCs w:val="36"/>
          <w:lang w:val="en-US" w:eastAsia="zh-CN" w:bidi="ar-SA"/>
        </w:rPr>
        <w:t>18</w:t>
      </w:r>
    </w:p>
    <w:p>
      <w:pPr>
        <w:ind w:firstLine="720" w:firstLineChars="200"/>
        <w:jc w:val="both"/>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7"/>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7"/>
        <w:spacing w:before="3"/>
        <w:rPr>
          <w:color w:val="auto"/>
          <w:sz w:val="51"/>
          <w:highlight w:val="none"/>
        </w:rPr>
      </w:pPr>
    </w:p>
    <w:p>
      <w:pPr>
        <w:pStyle w:val="7"/>
        <w:ind w:left="541"/>
        <w:rPr>
          <w:color w:val="auto"/>
          <w:highlight w:val="none"/>
        </w:rPr>
      </w:pPr>
      <w:r>
        <w:rPr>
          <w:color w:val="auto"/>
          <w:highlight w:val="none"/>
        </w:rPr>
        <w:t>一、项目基本情况</w:t>
      </w:r>
    </w:p>
    <w:p>
      <w:pPr>
        <w:pStyle w:val="24"/>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w:t>
      </w:r>
      <w:r>
        <w:rPr>
          <w:rFonts w:hint="eastAsia" w:ascii="Times New Roman" w:eastAsia="宋体"/>
          <w:color w:val="auto"/>
          <w:sz w:val="24"/>
          <w:u w:val="single"/>
          <w:lang w:val="en-US" w:eastAsia="zh-CN"/>
        </w:rPr>
        <w:t>1</w:t>
      </w:r>
      <w:r>
        <w:rPr>
          <w:rFonts w:hint="eastAsia" w:ascii="Times New Roman"/>
          <w:color w:val="auto"/>
          <w:sz w:val="24"/>
          <w:u w:val="single"/>
          <w:lang w:val="en-US" w:eastAsia="zh-CN"/>
        </w:rPr>
        <w:t>8</w:t>
      </w:r>
      <w:r>
        <w:rPr>
          <w:rFonts w:ascii="Times New Roman" w:eastAsia="Times New Roman"/>
          <w:color w:val="auto"/>
          <w:sz w:val="24"/>
          <w:u w:val="single"/>
        </w:rPr>
        <w:tab/>
      </w:r>
    </w:p>
    <w:p>
      <w:pPr>
        <w:pStyle w:val="24"/>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北海市妇幼保健院网络安全威胁态势感知系统年度维保服务</w:t>
      </w:r>
      <w:r>
        <w:rPr>
          <w:rFonts w:hint="eastAsia" w:ascii="宋体" w:hAnsi="宋体" w:eastAsia="宋体" w:cs="宋体"/>
          <w:color w:val="auto"/>
          <w:sz w:val="24"/>
          <w:szCs w:val="24"/>
          <w:u w:val="single"/>
        </w:rPr>
        <w:tab/>
      </w:r>
    </w:p>
    <w:p>
      <w:pPr>
        <w:pStyle w:val="24"/>
        <w:numPr>
          <w:ilvl w:val="0"/>
          <w:numId w:val="1"/>
        </w:numPr>
        <w:tabs>
          <w:tab w:val="left" w:pos="1251"/>
        </w:tabs>
        <w:spacing w:before="158" w:after="0" w:line="240" w:lineRule="auto"/>
        <w:ind w:left="1250" w:right="0" w:hanging="230"/>
        <w:jc w:val="left"/>
        <w:rPr>
          <w:color w:val="auto"/>
          <w:sz w:val="24"/>
        </w:rPr>
      </w:pPr>
      <w:r>
        <w:rPr>
          <w:color w:val="auto"/>
          <w:sz w:val="24"/>
        </w:rPr>
        <w:t>采购方式：</w:t>
      </w:r>
      <w:r>
        <w:rPr>
          <w:rFonts w:hint="eastAsia"/>
          <w:color w:val="auto"/>
          <w:sz w:val="24"/>
          <w:lang w:eastAsia="zh-CN"/>
        </w:rPr>
        <w:t>院内比选</w:t>
      </w:r>
    </w:p>
    <w:p>
      <w:pPr>
        <w:pStyle w:val="24"/>
        <w:numPr>
          <w:ilvl w:val="0"/>
          <w:numId w:val="1"/>
        </w:numPr>
        <w:tabs>
          <w:tab w:val="left" w:pos="1251"/>
          <w:tab w:val="left" w:pos="3769"/>
          <w:tab w:val="left" w:pos="7849"/>
        </w:tabs>
        <w:spacing w:before="158" w:after="0" w:line="240" w:lineRule="auto"/>
        <w:ind w:left="1250" w:right="0" w:hanging="230"/>
        <w:jc w:val="left"/>
        <w:rPr>
          <w:color w:val="auto"/>
          <w:sz w:val="24"/>
        </w:rPr>
      </w:pPr>
      <w:r>
        <w:rPr>
          <w:color w:val="auto"/>
          <w:sz w:val="24"/>
          <w:highlight w:val="none"/>
        </w:rPr>
        <w:t>项目预算金额</w:t>
      </w:r>
      <w:r>
        <w:rPr>
          <w:color w:val="auto"/>
          <w:spacing w:val="-1"/>
          <w:sz w:val="24"/>
          <w:highlight w:val="none"/>
        </w:rPr>
        <w:t>：</w:t>
      </w:r>
      <w:r>
        <w:rPr>
          <w:rFonts w:ascii="Times New Roman" w:eastAsia="Times New Roman"/>
          <w:color w:val="auto"/>
          <w:sz w:val="24"/>
          <w:u w:val="single"/>
        </w:rPr>
        <w:t xml:space="preserve"> </w:t>
      </w:r>
      <w:r>
        <w:rPr>
          <w:rFonts w:hint="eastAsia" w:ascii="Times New Roman" w:eastAsia="宋体"/>
          <w:color w:val="auto"/>
          <w:sz w:val="24"/>
          <w:u w:val="single"/>
          <w:lang w:val="en-US" w:eastAsia="zh-CN"/>
        </w:rPr>
        <w:t xml:space="preserve"> </w:t>
      </w:r>
      <w:r>
        <w:rPr>
          <w:rFonts w:hint="eastAsia" w:ascii="Times New Roman"/>
          <w:b w:val="0"/>
          <w:bCs w:val="0"/>
          <w:color w:val="auto"/>
          <w:sz w:val="24"/>
          <w:u w:val="single"/>
          <w:lang w:val="en-US" w:eastAsia="zh-CN"/>
        </w:rPr>
        <w:t>9</w:t>
      </w:r>
      <w:r>
        <w:rPr>
          <w:rFonts w:hint="eastAsia" w:ascii="Times New Roman" w:eastAsia="宋体"/>
          <w:color w:val="auto"/>
          <w:sz w:val="24"/>
          <w:u w:val="single"/>
          <w:lang w:val="en-US" w:eastAsia="zh-CN"/>
        </w:rPr>
        <w:t xml:space="preserve">      </w:t>
      </w:r>
      <w:r>
        <w:rPr>
          <w:color w:val="auto"/>
          <w:sz w:val="24"/>
        </w:rPr>
        <w:t>万元、项目最高限价（如有</w:t>
      </w:r>
      <w:r>
        <w:rPr>
          <w:color w:val="auto"/>
          <w:spacing w:val="-120"/>
          <w:sz w:val="24"/>
        </w:rPr>
        <w:t>）</w:t>
      </w:r>
      <w:r>
        <w:rPr>
          <w:color w:val="auto"/>
          <w:spacing w:val="-1"/>
          <w:sz w:val="24"/>
        </w:rPr>
        <w:t>：</w:t>
      </w:r>
      <w:r>
        <w:rPr>
          <w:rFonts w:hint="eastAsia"/>
          <w:color w:val="auto"/>
          <w:spacing w:val="-1"/>
          <w:sz w:val="24"/>
          <w:u w:val="single"/>
          <w:lang w:val="en-US" w:eastAsia="zh-CN"/>
        </w:rPr>
        <w:t xml:space="preserve"> </w:t>
      </w:r>
      <w:r>
        <w:rPr>
          <w:rFonts w:hint="eastAsia" w:asciiTheme="minorEastAsia" w:hAnsiTheme="minorEastAsia" w:eastAsiaTheme="minorEastAsia" w:cstheme="minorEastAsia"/>
          <w:color w:val="auto"/>
          <w:sz w:val="22"/>
          <w:szCs w:val="22"/>
          <w:u w:val="single"/>
          <w:lang w:val="en-US" w:eastAsia="zh-CN"/>
        </w:rPr>
        <w:t xml:space="preserve">9 </w:t>
      </w:r>
      <w:r>
        <w:rPr>
          <w:color w:val="auto"/>
          <w:sz w:val="24"/>
        </w:rPr>
        <w:t>万元</w:t>
      </w:r>
    </w:p>
    <w:p>
      <w:pPr>
        <w:pStyle w:val="24"/>
        <w:numPr>
          <w:ilvl w:val="0"/>
          <w:numId w:val="1"/>
        </w:numPr>
        <w:tabs>
          <w:tab w:val="left" w:pos="1251"/>
        </w:tabs>
        <w:spacing w:before="160" w:after="0" w:line="240" w:lineRule="auto"/>
        <w:ind w:left="1250" w:right="0" w:hanging="230"/>
        <w:jc w:val="left"/>
        <w:rPr>
          <w:color w:val="auto"/>
          <w:sz w:val="24"/>
        </w:rPr>
      </w:pPr>
      <w:r>
        <w:rPr>
          <w:color w:val="auto"/>
          <w:sz w:val="24"/>
        </w:rPr>
        <w:t>采购需求：</w:t>
      </w:r>
    </w:p>
    <w:p>
      <w:pPr>
        <w:pStyle w:val="7"/>
        <w:spacing w:before="4"/>
        <w:rPr>
          <w:color w:val="auto"/>
          <w:sz w:val="12"/>
        </w:rPr>
      </w:pPr>
    </w:p>
    <w:tbl>
      <w:tblPr>
        <w:tblStyle w:val="17"/>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25"/>
              <w:spacing w:before="136"/>
              <w:ind w:left="129" w:right="125"/>
              <w:jc w:val="center"/>
              <w:rPr>
                <w:color w:val="auto"/>
                <w:sz w:val="21"/>
              </w:rPr>
            </w:pPr>
            <w:r>
              <w:rPr>
                <w:color w:val="auto"/>
                <w:w w:val="95"/>
                <w:sz w:val="21"/>
              </w:rPr>
              <w:t>包号</w:t>
            </w:r>
          </w:p>
        </w:tc>
        <w:tc>
          <w:tcPr>
            <w:tcW w:w="1757" w:type="dxa"/>
          </w:tcPr>
          <w:p>
            <w:pPr>
              <w:pStyle w:val="25"/>
              <w:spacing w:before="136"/>
              <w:ind w:left="358"/>
              <w:rPr>
                <w:color w:val="auto"/>
                <w:sz w:val="21"/>
              </w:rPr>
            </w:pPr>
            <w:r>
              <w:rPr>
                <w:color w:val="auto"/>
                <w:sz w:val="21"/>
              </w:rPr>
              <w:t>标的名称</w:t>
            </w:r>
          </w:p>
        </w:tc>
        <w:tc>
          <w:tcPr>
            <w:tcW w:w="1935" w:type="dxa"/>
          </w:tcPr>
          <w:p>
            <w:pPr>
              <w:pStyle w:val="25"/>
              <w:spacing w:before="1"/>
              <w:ind w:left="95" w:right="87"/>
              <w:jc w:val="center"/>
              <w:rPr>
                <w:color w:val="auto"/>
                <w:sz w:val="21"/>
                <w:highlight w:val="none"/>
              </w:rPr>
            </w:pPr>
            <w:r>
              <w:rPr>
                <w:color w:val="auto"/>
                <w:sz w:val="21"/>
                <w:highlight w:val="none"/>
              </w:rPr>
              <w:t>采购包预算金额</w:t>
            </w:r>
          </w:p>
          <w:p>
            <w:pPr>
              <w:pStyle w:val="25"/>
              <w:spacing w:before="3" w:line="251" w:lineRule="exact"/>
              <w:ind w:left="92" w:right="87"/>
              <w:jc w:val="center"/>
              <w:rPr>
                <w:color w:val="auto"/>
                <w:sz w:val="21"/>
              </w:rPr>
            </w:pPr>
            <w:r>
              <w:rPr>
                <w:color w:val="auto"/>
                <w:sz w:val="21"/>
                <w:highlight w:val="none"/>
              </w:rPr>
              <w:t>（万元）</w:t>
            </w:r>
          </w:p>
        </w:tc>
        <w:tc>
          <w:tcPr>
            <w:tcW w:w="1035" w:type="dxa"/>
          </w:tcPr>
          <w:p>
            <w:pPr>
              <w:pStyle w:val="25"/>
              <w:spacing w:before="136"/>
              <w:ind w:left="287"/>
              <w:rPr>
                <w:color w:val="auto"/>
                <w:sz w:val="21"/>
              </w:rPr>
            </w:pPr>
            <w:r>
              <w:rPr>
                <w:color w:val="auto"/>
                <w:sz w:val="21"/>
              </w:rPr>
              <w:t>数量</w:t>
            </w:r>
          </w:p>
        </w:tc>
        <w:tc>
          <w:tcPr>
            <w:tcW w:w="3960" w:type="dxa"/>
          </w:tcPr>
          <w:p>
            <w:pPr>
              <w:pStyle w:val="25"/>
              <w:spacing w:before="136"/>
              <w:ind w:left="981"/>
              <w:rPr>
                <w:color w:val="auto"/>
                <w:sz w:val="21"/>
              </w:rPr>
            </w:pPr>
            <w:r>
              <w:rPr>
                <w:color w:val="auto"/>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25"/>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25"/>
              <w:jc w:val="center"/>
              <w:rPr>
                <w:rFonts w:ascii="Times New Roman"/>
                <w:color w:val="auto"/>
                <w:sz w:val="22"/>
                <w:highlight w:val="none"/>
              </w:rPr>
            </w:pPr>
            <w:r>
              <w:rPr>
                <w:rFonts w:hint="eastAsia"/>
                <w:color w:val="auto"/>
                <w:highlight w:val="none"/>
                <w:lang w:eastAsia="zh-CN"/>
              </w:rPr>
              <w:t>北海市妇幼保健院网络安全威胁态势感知系统年度维保服务</w:t>
            </w:r>
          </w:p>
        </w:tc>
        <w:tc>
          <w:tcPr>
            <w:tcW w:w="1935" w:type="dxa"/>
            <w:vAlign w:val="center"/>
          </w:tcPr>
          <w:p>
            <w:pPr>
              <w:pStyle w:val="25"/>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lang w:val="en-US" w:eastAsia="zh-CN"/>
              </w:rPr>
              <w:t>9</w:t>
            </w:r>
          </w:p>
        </w:tc>
        <w:tc>
          <w:tcPr>
            <w:tcW w:w="1035" w:type="dxa"/>
            <w:vAlign w:val="center"/>
          </w:tcPr>
          <w:p>
            <w:pPr>
              <w:pStyle w:val="25"/>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25"/>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7"/>
        <w:rPr>
          <w:color w:val="auto"/>
          <w:sz w:val="33"/>
          <w:highlight w:val="none"/>
        </w:rPr>
      </w:pPr>
    </w:p>
    <w:p>
      <w:pPr>
        <w:pStyle w:val="24"/>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lang w:eastAsia="zh-CN"/>
        </w:rPr>
        <w:t>维保服务</w:t>
      </w:r>
      <w:r>
        <w:rPr>
          <w:rFonts w:hint="eastAsia"/>
          <w:color w:val="auto"/>
          <w:sz w:val="24"/>
          <w:highlight w:val="none"/>
        </w:rPr>
        <w:t>期限</w:t>
      </w:r>
      <w:r>
        <w:rPr>
          <w:color w:val="auto"/>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1年</w:t>
      </w:r>
      <w:r>
        <w:rPr>
          <w:rFonts w:ascii="Times New Roman" w:eastAsia="Times New Roman"/>
          <w:color w:val="auto"/>
          <w:sz w:val="24"/>
          <w:highlight w:val="none"/>
          <w:u w:val="single"/>
        </w:rPr>
        <w:tab/>
      </w:r>
    </w:p>
    <w:p>
      <w:pPr>
        <w:pStyle w:val="24"/>
        <w:numPr>
          <w:ilvl w:val="0"/>
          <w:numId w:val="1"/>
        </w:numPr>
        <w:tabs>
          <w:tab w:val="left" w:pos="1251"/>
          <w:tab w:val="left" w:pos="4302"/>
        </w:tabs>
        <w:spacing w:before="0" w:after="0" w:line="240" w:lineRule="auto"/>
        <w:ind w:left="1250" w:right="0" w:hanging="230"/>
        <w:jc w:val="left"/>
        <w:rPr>
          <w:rFonts w:hint="eastAsia"/>
          <w:color w:val="auto"/>
          <w:sz w:val="24"/>
          <w:highlight w:val="none"/>
          <w:lang w:eastAsia="zh-CN"/>
        </w:rPr>
      </w:pPr>
      <w:r>
        <w:rPr>
          <w:rFonts w:hint="eastAsia"/>
          <w:color w:val="auto"/>
          <w:sz w:val="24"/>
          <w:highlight w:val="none"/>
          <w:lang w:eastAsia="zh-CN"/>
        </w:rPr>
        <w:t>本项目是否接受联合体：否。</w:t>
      </w:r>
    </w:p>
    <w:p>
      <w:pPr>
        <w:pStyle w:val="7"/>
        <w:rPr>
          <w:color w:val="auto"/>
          <w:sz w:val="28"/>
          <w:highlight w:val="none"/>
        </w:rPr>
      </w:pPr>
    </w:p>
    <w:p>
      <w:pPr>
        <w:pStyle w:val="7"/>
        <w:spacing w:before="220"/>
        <w:ind w:left="541"/>
        <w:rPr>
          <w:color w:val="auto"/>
          <w:highlight w:val="none"/>
        </w:rPr>
      </w:pPr>
      <w:r>
        <w:rPr>
          <w:color w:val="auto"/>
          <w:highlight w:val="none"/>
        </w:rPr>
        <w:t>二、申请人的资格要求（须同时满足）</w:t>
      </w:r>
    </w:p>
    <w:p>
      <w:pPr>
        <w:pStyle w:val="24"/>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24"/>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24"/>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sz w:val="24"/>
          <w:highlight w:val="none"/>
          <w:lang w:eastAsia="zh-CN"/>
        </w:rPr>
        <w:t>无</w:t>
      </w:r>
    </w:p>
    <w:p>
      <w:pPr>
        <w:pStyle w:val="24"/>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7"/>
        <w:spacing w:before="219"/>
        <w:ind w:left="541"/>
        <w:rPr>
          <w:color w:val="auto"/>
        </w:rPr>
      </w:pPr>
      <w:r>
        <w:rPr>
          <w:rFonts w:hint="eastAsia"/>
          <w:color w:val="auto"/>
          <w:lang w:eastAsia="zh-CN"/>
        </w:rPr>
        <w:t>三</w:t>
      </w:r>
      <w:r>
        <w:rPr>
          <w:color w:val="auto"/>
        </w:rPr>
        <w:t>、响应文件提交</w:t>
      </w:r>
    </w:p>
    <w:p>
      <w:pPr>
        <w:pStyle w:val="7"/>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 xml:space="preserve">8  </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8</w:t>
      </w:r>
      <w:bookmarkStart w:id="114" w:name="_GoBack"/>
      <w:bookmarkEnd w:id="114"/>
      <w:r>
        <w:rPr>
          <w:rFonts w:hint="eastAsia"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7"/>
        <w:spacing w:before="12"/>
        <w:rPr>
          <w:color w:val="auto"/>
          <w:sz w:val="32"/>
        </w:rPr>
      </w:pPr>
    </w:p>
    <w:p>
      <w:pPr>
        <w:pStyle w:val="7"/>
        <w:spacing w:before="1"/>
        <w:ind w:left="541"/>
        <w:rPr>
          <w:color w:val="auto"/>
        </w:rPr>
      </w:pPr>
      <w:r>
        <w:rPr>
          <w:rFonts w:hint="eastAsia"/>
          <w:color w:val="auto"/>
          <w:lang w:eastAsia="zh-CN"/>
        </w:rPr>
        <w:t>四</w:t>
      </w:r>
      <w:r>
        <w:rPr>
          <w:color w:val="auto"/>
        </w:rPr>
        <w:t>、开启</w:t>
      </w:r>
    </w:p>
    <w:p>
      <w:pPr>
        <w:pStyle w:val="7"/>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7"/>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7"/>
        <w:rPr>
          <w:color w:val="auto"/>
          <w:sz w:val="33"/>
        </w:rPr>
      </w:pPr>
    </w:p>
    <w:p>
      <w:pPr>
        <w:pStyle w:val="7"/>
        <w:ind w:left="541"/>
        <w:rPr>
          <w:color w:val="auto"/>
        </w:rPr>
      </w:pPr>
      <w:r>
        <w:rPr>
          <w:rFonts w:hint="eastAsia"/>
          <w:color w:val="auto"/>
          <w:lang w:eastAsia="zh-CN"/>
        </w:rPr>
        <w:t>五</w:t>
      </w:r>
      <w:r>
        <w:rPr>
          <w:color w:val="auto"/>
        </w:rPr>
        <w:t>、公告期限</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7"/>
        <w:keepNext w:val="0"/>
        <w:keepLines w:val="0"/>
        <w:pageBreakBefore w:val="0"/>
        <w:widowControl w:val="0"/>
        <w:kinsoku/>
        <w:wordWrap/>
        <w:overflowPunct w:val="0"/>
        <w:topLinePunct w:val="0"/>
        <w:autoSpaceDE w:val="0"/>
        <w:autoSpaceDN w:val="0"/>
        <w:bidi w:val="0"/>
        <w:adjustRightInd/>
        <w:snapToGrid/>
        <w:spacing w:before="160"/>
        <w:ind w:left="0" w:firstLine="480" w:firstLineChars="200"/>
        <w:textAlignment w:val="auto"/>
        <w:rPr>
          <w:color w:val="auto"/>
        </w:rPr>
      </w:pPr>
      <w:r>
        <w:rPr>
          <w:rFonts w:hint="eastAsia"/>
          <w:color w:val="auto"/>
          <w:lang w:eastAsia="zh-CN"/>
        </w:rPr>
        <w:t>六</w:t>
      </w:r>
      <w:r>
        <w:rPr>
          <w:color w:val="auto"/>
        </w:rPr>
        <w:t>、对本次采购提出询问，请按以下方式联系。</w:t>
      </w:r>
    </w:p>
    <w:p>
      <w:pPr>
        <w:pStyle w:val="7"/>
        <w:numPr>
          <w:ilvl w:val="2"/>
          <w:numId w:val="3"/>
        </w:numPr>
        <w:bidi w:val="0"/>
        <w:rPr>
          <w:color w:val="auto"/>
        </w:rPr>
      </w:pPr>
      <w:r>
        <w:rPr>
          <w:color w:val="auto"/>
        </w:rPr>
        <w:t>采购人信息</w:t>
      </w:r>
    </w:p>
    <w:p>
      <w:pPr>
        <w:pStyle w:val="7"/>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7"/>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7"/>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7"/>
        <w:spacing w:before="8"/>
        <w:rPr>
          <w:color w:val="auto"/>
          <w:sz w:val="26"/>
        </w:rPr>
      </w:pPr>
    </w:p>
    <w:p>
      <w:pPr>
        <w:pStyle w:val="2"/>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24"/>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比选</w:t>
      </w:r>
      <w:r>
        <w:rPr>
          <w:color w:val="auto"/>
          <w:sz w:val="24"/>
          <w:highlight w:val="none"/>
        </w:rPr>
        <w:t>文件中计量单位的使用及</w:t>
      </w:r>
      <w:r>
        <w:rPr>
          <w:rFonts w:hint="eastAsia"/>
          <w:color w:val="auto"/>
          <w:sz w:val="24"/>
          <w:highlight w:val="none"/>
          <w:lang w:eastAsia="zh-CN"/>
        </w:rPr>
        <w:t>比选</w:t>
      </w:r>
      <w:r>
        <w:rPr>
          <w:color w:val="auto"/>
          <w:sz w:val="24"/>
          <w:highlight w:val="none"/>
        </w:rPr>
        <w:t>语言</w:t>
      </w:r>
    </w:p>
    <w:p>
      <w:pPr>
        <w:pStyle w:val="24"/>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24"/>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比选</w:t>
      </w:r>
      <w:r>
        <w:rPr>
          <w:color w:val="auto"/>
          <w:sz w:val="24"/>
          <w:highlight w:val="none"/>
        </w:rPr>
        <w:t>文件有特殊要求外，本项目</w:t>
      </w:r>
      <w:r>
        <w:rPr>
          <w:rFonts w:hint="eastAsia"/>
          <w:color w:val="auto"/>
          <w:sz w:val="24"/>
          <w:highlight w:val="none"/>
          <w:lang w:eastAsia="zh-CN"/>
        </w:rPr>
        <w:t>比选</w:t>
      </w:r>
      <w:r>
        <w:rPr>
          <w:color w:val="auto"/>
          <w:sz w:val="24"/>
          <w:highlight w:val="none"/>
        </w:rPr>
        <w:t>所使用的计量单位，应采用中华人民共和国法定计量单位。</w:t>
      </w:r>
    </w:p>
    <w:p>
      <w:pPr>
        <w:pStyle w:val="24"/>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24"/>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24"/>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比选</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24"/>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比选</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比选</w:t>
      </w:r>
      <w:r>
        <w:rPr>
          <w:color w:val="auto"/>
          <w:sz w:val="24"/>
          <w:highlight w:val="none"/>
        </w:rPr>
        <w:t>文件未</w:t>
      </w:r>
      <w:r>
        <w:rPr>
          <w:color w:val="auto"/>
          <w:w w:val="110"/>
          <w:sz w:val="24"/>
          <w:highlight w:val="none"/>
        </w:rPr>
        <w:t>提供格式的内容，可由供应商自行编写。</w:t>
      </w:r>
    </w:p>
    <w:p>
      <w:pPr>
        <w:pStyle w:val="24"/>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24"/>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24"/>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24"/>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24"/>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24"/>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24"/>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比选</w:t>
      </w:r>
      <w:r>
        <w:rPr>
          <w:color w:val="auto"/>
          <w:sz w:val="24"/>
        </w:rPr>
        <w:t>文件要求完成本项目的全部相关费用。</w:t>
      </w:r>
    </w:p>
    <w:p>
      <w:pPr>
        <w:pStyle w:val="24"/>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24"/>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7"/>
        <w:spacing w:before="7"/>
        <w:rPr>
          <w:color w:val="auto"/>
          <w:sz w:val="27"/>
        </w:rPr>
      </w:pPr>
    </w:p>
    <w:p>
      <w:pPr>
        <w:pStyle w:val="2"/>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24"/>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24"/>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24"/>
        <w:numPr>
          <w:ilvl w:val="1"/>
          <w:numId w:val="4"/>
        </w:numPr>
        <w:tabs>
          <w:tab w:val="left" w:pos="1617"/>
        </w:tabs>
        <w:spacing w:before="0" w:after="0" w:line="307" w:lineRule="exact"/>
        <w:ind w:left="1609" w:leftChars="0" w:right="0" w:hanging="721" w:firstLineChars="0"/>
        <w:jc w:val="both"/>
        <w:rPr>
          <w:color w:val="auto"/>
          <w:sz w:val="24"/>
        </w:rPr>
      </w:pPr>
      <w:r>
        <w:rPr>
          <w:color w:val="auto"/>
          <w:spacing w:val="-9"/>
          <w:sz w:val="24"/>
        </w:rPr>
        <w:t xml:space="preserve">供应商不足 </w:t>
      </w:r>
      <w:r>
        <w:rPr>
          <w:rFonts w:ascii="Tahoma" w:eastAsia="Tahoma"/>
          <w:color w:val="auto"/>
          <w:sz w:val="24"/>
        </w:rPr>
        <w:t>3</w:t>
      </w:r>
      <w:r>
        <w:rPr>
          <w:rFonts w:ascii="Tahoma" w:eastAsia="Tahoma"/>
          <w:color w:val="auto"/>
          <w:spacing w:val="-4"/>
          <w:sz w:val="24"/>
        </w:rPr>
        <w:t xml:space="preserve"> </w:t>
      </w:r>
      <w:r>
        <w:rPr>
          <w:color w:val="auto"/>
          <w:sz w:val="24"/>
        </w:rPr>
        <w:t>家的，不予解密。</w:t>
      </w:r>
    </w:p>
    <w:p>
      <w:pPr>
        <w:pStyle w:val="24"/>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24"/>
        <w:numPr>
          <w:ilvl w:val="1"/>
          <w:numId w:val="4"/>
        </w:numPr>
        <w:tabs>
          <w:tab w:val="left" w:pos="1617"/>
        </w:tabs>
        <w:spacing w:before="156" w:after="0" w:line="240" w:lineRule="auto"/>
        <w:ind w:left="1609" w:leftChars="0" w:right="0" w:hanging="721" w:firstLineChars="0"/>
        <w:jc w:val="both"/>
        <w:rPr>
          <w:color w:val="auto"/>
          <w:sz w:val="24"/>
        </w:rPr>
      </w:pPr>
      <w:r>
        <w:rPr>
          <w:rFonts w:hint="eastAsia"/>
          <w:color w:val="auto"/>
          <w:sz w:val="24"/>
          <w:lang w:eastAsia="zh-CN"/>
        </w:rPr>
        <w:t>评审中允许负偏离的条款数为 0  项。</w:t>
      </w:r>
    </w:p>
    <w:p>
      <w:pPr>
        <w:pStyle w:val="24"/>
        <w:numPr>
          <w:ilvl w:val="0"/>
          <w:numId w:val="0"/>
        </w:numPr>
        <w:tabs>
          <w:tab w:val="left" w:pos="897"/>
        </w:tabs>
        <w:spacing w:before="161" w:after="0" w:line="240" w:lineRule="auto"/>
        <w:ind w:left="540" w:leftChars="0" w:right="0" w:rightChars="0"/>
        <w:jc w:val="both"/>
        <w:rPr>
          <w:color w:val="auto"/>
          <w:sz w:val="24"/>
        </w:rPr>
      </w:pPr>
    </w:p>
    <w:p>
      <w:pPr>
        <w:pStyle w:val="24"/>
        <w:numPr>
          <w:ilvl w:val="0"/>
          <w:numId w:val="0"/>
        </w:numPr>
        <w:tabs>
          <w:tab w:val="left" w:pos="897"/>
        </w:tabs>
        <w:spacing w:before="161" w:after="0" w:line="240" w:lineRule="auto"/>
        <w:ind w:right="0" w:rightChars="0"/>
        <w:jc w:val="both"/>
        <w:rPr>
          <w:rFonts w:hint="default" w:eastAsia="宋体"/>
          <w:color w:val="auto"/>
          <w:sz w:val="24"/>
          <w:lang w:val="en-US" w:eastAsia="zh-CN"/>
        </w:rPr>
        <w:sectPr>
          <w:pgSz w:w="11910" w:h="16840"/>
          <w:pgMar w:top="1340" w:right="560" w:bottom="1080" w:left="1160" w:header="879" w:footer="892" w:gutter="0"/>
          <w:cols w:space="720" w:num="1"/>
        </w:sectPr>
      </w:pPr>
    </w:p>
    <w:p>
      <w:pPr>
        <w:pStyle w:val="7"/>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w:t>
      </w:r>
      <w:r>
        <w:rPr>
          <w:rFonts w:hint="eastAsia"/>
          <w:color w:val="auto"/>
          <w:sz w:val="36"/>
          <w:szCs w:val="36"/>
          <w:highlight w:val="none"/>
          <w:lang w:eastAsia="zh-CN"/>
        </w:rPr>
        <w:t>和评审</w:t>
      </w:r>
      <w:r>
        <w:rPr>
          <w:color w:val="auto"/>
          <w:sz w:val="36"/>
          <w:szCs w:val="36"/>
          <w:highlight w:val="none"/>
        </w:rPr>
        <w:t>标准</w:t>
      </w:r>
    </w:p>
    <w:p>
      <w:pPr>
        <w:pStyle w:val="7"/>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none"/>
          <w:lang w:val="en-US" w:eastAsia="zh-CN"/>
        </w:rPr>
        <w:t>院内比选（综合评分法），对单位提供报价、服务</w:t>
      </w:r>
      <w:r>
        <w:rPr>
          <w:rFonts w:hint="eastAsia"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lang w:val="en-US" w:eastAsia="zh-CN"/>
        </w:rPr>
        <w:t>等进行综合谈判定，由评审小组推荐成交候选单位，本项目允许竞</w:t>
      </w:r>
      <w:r>
        <w:rPr>
          <w:rFonts w:hint="eastAsia" w:ascii="宋体" w:hAnsi="宋体" w:eastAsia="宋体" w:cs="宋体"/>
          <w:b w:val="0"/>
          <w:bCs w:val="0"/>
          <w:color w:val="auto"/>
          <w:sz w:val="24"/>
          <w:szCs w:val="24"/>
          <w:lang w:val="en-US" w:eastAsia="zh-CN"/>
        </w:rPr>
        <w:t>标人进行二次报价。</w:t>
      </w:r>
    </w:p>
    <w:p>
      <w:pPr>
        <w:pStyle w:val="11"/>
        <w:numPr>
          <w:ilvl w:val="0"/>
          <w:numId w:val="5"/>
        </w:numPr>
        <w:rPr>
          <w:rFonts w:hint="eastAsia" w:ascii="宋体" w:eastAsia="宋体" w:cs="宋体"/>
          <w:bCs/>
          <w:color w:val="auto"/>
          <w:sz w:val="21"/>
          <w:szCs w:val="21"/>
        </w:rPr>
      </w:pPr>
      <w:r>
        <w:rPr>
          <w:rFonts w:hint="eastAsia" w:ascii="宋体" w:eastAsia="宋体" w:cs="宋体"/>
          <w:bCs/>
          <w:color w:val="auto"/>
          <w:sz w:val="21"/>
          <w:szCs w:val="21"/>
        </w:rPr>
        <w:t>对进入详评的，采用百分制综合评分法。</w:t>
      </w:r>
    </w:p>
    <w:p>
      <w:pPr>
        <w:pStyle w:val="7"/>
        <w:rPr>
          <w:color w:val="auto"/>
          <w:sz w:val="20"/>
        </w:rPr>
      </w:pPr>
    </w:p>
    <w:tbl>
      <w:tblPr>
        <w:tblStyle w:val="17"/>
        <w:tblpPr w:leftFromText="180" w:rightFromText="180" w:vertAnchor="text" w:horzAnchor="page" w:tblpX="1172" w:tblpY="309"/>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6"/>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2"/>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7254" w:type="dxa"/>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1</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p>
            <w:pPr>
              <w:wordWrap w:val="0"/>
              <w:spacing w:line="360" w:lineRule="auto"/>
              <w:jc w:val="center"/>
              <w:rPr>
                <w:rFonts w:hint="eastAsia" w:ascii="宋体" w:hAnsi="宋体" w:eastAsia="宋体" w:cs="宋体"/>
                <w:color w:val="auto"/>
                <w:sz w:val="24"/>
                <w:szCs w:val="24"/>
                <w:highlight w:val="yellow"/>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c>
        <w:tc>
          <w:tcPr>
            <w:tcW w:w="7254" w:type="dxa"/>
            <w:shd w:val="clear" w:color="auto" w:fill="auto"/>
          </w:tcPr>
          <w:p>
            <w:pPr>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最低的</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为评标基准价，基准价得分为</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pPr>
              <w:wordWrap w:val="0"/>
              <w:spacing w:line="360" w:lineRule="auto"/>
              <w:rPr>
                <w:rFonts w:ascii="宋体" w:hAnsi="宋体" w:cs="宋体"/>
                <w:color w:val="auto"/>
                <w:szCs w:val="21"/>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某投标人价格分 =（评标基准价÷某投标人</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cs="宋体"/>
                <w:color w:val="auto"/>
                <w:szCs w:val="21"/>
                <w:lang w:val="en-US" w:eastAsia="zh-CN"/>
              </w:rPr>
            </w:pPr>
          </w:p>
          <w:p>
            <w:pPr>
              <w:wordWrap w:val="0"/>
              <w:spacing w:line="360" w:lineRule="auto"/>
              <w:jc w:val="center"/>
              <w:rPr>
                <w:rFonts w:hint="eastAsia" w:cs="宋体"/>
                <w:color w:val="auto"/>
                <w:szCs w:val="21"/>
                <w:lang w:val="en-US" w:eastAsia="zh-CN"/>
              </w:rPr>
            </w:pPr>
          </w:p>
          <w:p>
            <w:pPr>
              <w:wordWrap w:val="0"/>
              <w:spacing w:line="360" w:lineRule="auto"/>
              <w:jc w:val="center"/>
              <w:rPr>
                <w:rFonts w:hint="eastAsia" w:cs="宋体"/>
                <w:color w:val="auto"/>
                <w:szCs w:val="21"/>
                <w:lang w:val="en-US" w:eastAsia="zh-CN"/>
              </w:rPr>
            </w:pPr>
          </w:p>
          <w:p>
            <w:pPr>
              <w:wordWrap w:val="0"/>
              <w:spacing w:line="360" w:lineRule="auto"/>
              <w:jc w:val="center"/>
              <w:rPr>
                <w:rFonts w:hint="default" w:cs="宋体"/>
                <w:color w:val="auto"/>
                <w:szCs w:val="21"/>
                <w:lang w:val="en-US" w:eastAsia="zh-CN"/>
              </w:rPr>
            </w:pPr>
            <w:r>
              <w:rPr>
                <w:rFonts w:hint="eastAsia" w:cs="宋体"/>
                <w:color w:val="auto"/>
                <w:szCs w:val="21"/>
                <w:lang w:val="en-US" w:eastAsia="zh-CN"/>
              </w:rPr>
              <w:t>2</w:t>
            </w:r>
          </w:p>
        </w:tc>
        <w:tc>
          <w:tcPr>
            <w:tcW w:w="1936" w:type="dxa"/>
            <w:shd w:val="clear" w:color="auto" w:fill="auto"/>
            <w:vAlign w:val="center"/>
          </w:tcPr>
          <w:p>
            <w:pPr>
              <w:wordWrap w:val="0"/>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项目实施方案</w:t>
            </w:r>
          </w:p>
          <w:p>
            <w:pPr>
              <w:wordWrap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highlight w:val="none"/>
                <w:lang w:val="en-US" w:eastAsia="zh-CN"/>
              </w:rPr>
              <w:t>（</w:t>
            </w:r>
            <w:r>
              <w:rPr>
                <w:rFonts w:hint="eastAsia" w:cs="宋体"/>
                <w:b/>
                <w:bCs/>
                <w:color w:val="auto"/>
                <w:highlight w:val="none"/>
                <w:lang w:val="en-US" w:eastAsia="zh-CN"/>
              </w:rPr>
              <w:t>30</w:t>
            </w:r>
            <w:r>
              <w:rPr>
                <w:rFonts w:hint="eastAsia" w:ascii="宋体" w:hAnsi="宋体" w:eastAsia="宋体" w:cs="宋体"/>
                <w:b/>
                <w:bCs/>
                <w:color w:val="auto"/>
                <w:highlight w:val="none"/>
                <w:lang w:val="en-US" w:eastAsia="zh-CN"/>
              </w:rPr>
              <w:t>分）</w:t>
            </w:r>
          </w:p>
        </w:tc>
        <w:tc>
          <w:tcPr>
            <w:tcW w:w="7254" w:type="dxa"/>
            <w:shd w:val="clear" w:color="auto" w:fill="auto"/>
          </w:tcPr>
          <w:p>
            <w:pPr>
              <w:spacing w:line="440" w:lineRule="exact"/>
              <w:rPr>
                <w:rFonts w:hint="eastAsia"/>
                <w:sz w:val="24"/>
                <w:szCs w:val="24"/>
                <w:lang w:val="en-US" w:eastAsia="zh-CN"/>
              </w:rPr>
            </w:pPr>
            <w:r>
              <w:rPr>
                <w:rFonts w:hint="eastAsia"/>
                <w:b/>
                <w:bCs/>
                <w:sz w:val="24"/>
                <w:szCs w:val="24"/>
                <w:lang w:val="en-US" w:eastAsia="zh-CN"/>
              </w:rPr>
              <w:t>一档（20分</w:t>
            </w:r>
            <w:r>
              <w:rPr>
                <w:rFonts w:hint="eastAsia"/>
                <w:sz w:val="24"/>
                <w:szCs w:val="24"/>
                <w:lang w:val="en-US" w:eastAsia="zh-CN"/>
              </w:rPr>
              <w:t>）：供应商对本项目的理解、项目实施计划、技术人员安排表述缺乏针对性，能提供实施方案，没有明显的技术错误，技术及实施方案基本符合项目需要。</w:t>
            </w:r>
          </w:p>
          <w:p>
            <w:pPr>
              <w:spacing w:line="440" w:lineRule="exact"/>
              <w:rPr>
                <w:rFonts w:hint="eastAsia"/>
                <w:sz w:val="24"/>
                <w:szCs w:val="24"/>
                <w:lang w:val="en-US" w:eastAsia="zh-CN"/>
              </w:rPr>
            </w:pPr>
            <w:r>
              <w:rPr>
                <w:rFonts w:hint="eastAsia"/>
                <w:b/>
                <w:bCs/>
                <w:sz w:val="24"/>
                <w:szCs w:val="24"/>
                <w:lang w:val="en-US" w:eastAsia="zh-CN"/>
              </w:rPr>
              <w:t>二档（25分）</w:t>
            </w:r>
            <w:r>
              <w:rPr>
                <w:rFonts w:hint="eastAsia"/>
                <w:sz w:val="24"/>
                <w:szCs w:val="24"/>
                <w:lang w:val="en-US" w:eastAsia="zh-CN"/>
              </w:rPr>
              <w:t>：供应商对本项目的理解、项目实施计划、技术人员表安排表述清晰、完整、严谨、合理，有针对性。</w:t>
            </w:r>
          </w:p>
          <w:p>
            <w:pPr>
              <w:spacing w:line="440" w:lineRule="exact"/>
              <w:rPr>
                <w:rFonts w:hint="eastAsia"/>
                <w:sz w:val="24"/>
                <w:szCs w:val="24"/>
                <w:lang w:val="en-US" w:eastAsia="zh-CN"/>
              </w:rPr>
            </w:pPr>
            <w:r>
              <w:rPr>
                <w:rFonts w:hint="eastAsia"/>
                <w:b/>
                <w:bCs/>
                <w:sz w:val="24"/>
                <w:szCs w:val="24"/>
                <w:lang w:val="en-US" w:eastAsia="zh-CN"/>
              </w:rPr>
              <w:t>三档（30分</w:t>
            </w:r>
            <w:r>
              <w:rPr>
                <w:rFonts w:hint="eastAsia"/>
                <w:sz w:val="24"/>
                <w:szCs w:val="24"/>
                <w:lang w:val="en-US" w:eastAsia="zh-CN"/>
              </w:rPr>
              <w:t xml:space="preserve">）：供应商提供针对本项目的理解、项目实施计划、技术人员表安排，表述清晰、完整、严谨、合理，能够完整提供完整可行的实施方案，方案完全符合项目要求，且方案完整全面，完全满足项目需要。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default" w:cs="宋体"/>
                <w:color w:val="auto"/>
                <w:szCs w:val="21"/>
                <w:lang w:val="en-US" w:eastAsia="zh-CN"/>
              </w:rPr>
            </w:pPr>
            <w:r>
              <w:rPr>
                <w:rFonts w:hint="eastAsia" w:cs="宋体"/>
                <w:color w:val="auto"/>
                <w:szCs w:val="21"/>
                <w:lang w:val="en-US" w:eastAsia="zh-CN"/>
              </w:rPr>
              <w:t>3</w:t>
            </w:r>
          </w:p>
        </w:tc>
        <w:tc>
          <w:tcPr>
            <w:tcW w:w="1936" w:type="dxa"/>
            <w:shd w:val="clear" w:color="auto" w:fill="auto"/>
            <w:vAlign w:val="center"/>
          </w:tcPr>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故障响应及应急方案</w:t>
            </w:r>
          </w:p>
          <w:p>
            <w:pPr>
              <w:wordWrap w:val="0"/>
              <w:spacing w:line="36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cs="宋体"/>
                <w:b/>
                <w:bCs/>
                <w:color w:val="auto"/>
                <w:highlight w:val="none"/>
                <w:lang w:val="en-US" w:eastAsia="zh-CN"/>
              </w:rPr>
              <w:t>30</w:t>
            </w:r>
            <w:r>
              <w:rPr>
                <w:rFonts w:hint="eastAsia" w:ascii="宋体" w:hAnsi="宋体" w:eastAsia="宋体" w:cs="宋体"/>
                <w:b/>
                <w:bCs/>
                <w:color w:val="auto"/>
                <w:highlight w:val="none"/>
                <w:lang w:val="en-US" w:eastAsia="zh-CN"/>
              </w:rPr>
              <w:t>分）</w:t>
            </w:r>
          </w:p>
        </w:tc>
        <w:tc>
          <w:tcPr>
            <w:tcW w:w="7254" w:type="dxa"/>
            <w:shd w:val="clear" w:color="auto" w:fill="auto"/>
          </w:tcPr>
          <w:p>
            <w:pPr>
              <w:keepNext w:val="0"/>
              <w:keepLines w:val="0"/>
              <w:pageBreakBefore w:val="0"/>
              <w:kinsoku/>
              <w:wordWrap/>
              <w:overflowPunct/>
              <w:topLinePunct w:val="0"/>
              <w:bidi w:val="0"/>
              <w:snapToGrid/>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一档（</w:t>
            </w:r>
            <w:r>
              <w:rPr>
                <w:rFonts w:hint="eastAsia" w:cs="宋体"/>
                <w:b/>
                <w:color w:val="auto"/>
                <w:szCs w:val="21"/>
                <w:highlight w:val="none"/>
                <w:lang w:val="en-US" w:eastAsia="zh-CN"/>
              </w:rPr>
              <w:t>15</w:t>
            </w:r>
            <w:r>
              <w:rPr>
                <w:rFonts w:hint="eastAsia" w:ascii="宋体" w:hAnsi="宋体" w:eastAsia="宋体" w:cs="宋体"/>
                <w:b/>
                <w:color w:val="auto"/>
                <w:szCs w:val="21"/>
                <w:highlight w:val="none"/>
              </w:rPr>
              <w:t>分）：</w:t>
            </w:r>
            <w:r>
              <w:rPr>
                <w:rFonts w:hint="eastAsia" w:ascii="宋体" w:hAnsi="宋体" w:eastAsia="宋体" w:cs="宋体"/>
                <w:b w:val="0"/>
                <w:bCs w:val="0"/>
                <w:color w:val="auto"/>
                <w:highlight w:val="none"/>
                <w:lang w:val="en-US" w:eastAsia="zh-CN"/>
              </w:rPr>
              <w:t>磋商响应文件中</w:t>
            </w:r>
            <w:r>
              <w:rPr>
                <w:rFonts w:hint="eastAsia" w:ascii="宋体" w:hAnsi="宋体" w:eastAsia="宋体" w:cs="宋体"/>
                <w:b w:val="0"/>
                <w:bCs/>
                <w:color w:val="auto"/>
                <w:kern w:val="2"/>
                <w:sz w:val="21"/>
                <w:szCs w:val="21"/>
                <w:highlight w:val="none"/>
                <w:lang w:val="en-US" w:eastAsia="zh-CN"/>
              </w:rPr>
              <w:t>未提供故障响应及应急方案</w:t>
            </w:r>
            <w:r>
              <w:rPr>
                <w:rFonts w:hint="eastAsia" w:ascii="宋体" w:hAnsi="宋体" w:eastAsia="宋体" w:cs="宋体"/>
                <w:b w:val="0"/>
                <w:bCs/>
                <w:color w:val="auto"/>
                <w:kern w:val="2"/>
                <w:sz w:val="21"/>
                <w:szCs w:val="21"/>
                <w:highlight w:val="none"/>
                <w:lang w:val="en-US" w:eastAsia="zh-CN" w:bidi="ar-SA"/>
              </w:rPr>
              <w:t>的</w:t>
            </w:r>
            <w:r>
              <w:rPr>
                <w:rFonts w:hint="eastAsia" w:ascii="宋体" w:hAnsi="宋体" w:eastAsia="宋体" w:cs="宋体"/>
                <w:b w:val="0"/>
                <w:bCs/>
                <w:color w:val="auto"/>
                <w:kern w:val="2"/>
                <w:sz w:val="21"/>
                <w:szCs w:val="21"/>
                <w:highlight w:val="none"/>
                <w:lang w:val="en-US" w:eastAsia="zh-CN"/>
              </w:rPr>
              <w:t>不得分。</w:t>
            </w:r>
          </w:p>
          <w:p>
            <w:pPr>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lang w:val="en-US" w:eastAsia="zh-CN"/>
              </w:rPr>
              <w:t>有针对本项目的总体故障响应及应急处理计划及解决措施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val="en-US" w:eastAsia="zh-CN"/>
              </w:rPr>
              <w:t>出现突发故障的应急防控措施。</w:t>
            </w:r>
          </w:p>
          <w:p>
            <w:pPr>
              <w:spacing w:line="440" w:lineRule="exact"/>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lang w:val="en-US" w:eastAsia="zh-CN"/>
              </w:rPr>
              <w:t>有针对本项目的总体故障响应及应急处理计划及解决措施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val="en-US" w:eastAsia="zh-CN"/>
              </w:rPr>
              <w:t>出现突发故障的应急防控措施，包含设备故障处理方案，在设备修复期间须提供解决方案，保证各设备运行做到无缝对接。</w:t>
            </w:r>
          </w:p>
          <w:p>
            <w:pPr>
              <w:spacing w:line="440" w:lineRule="exact"/>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lang w:val="en-US" w:eastAsia="zh-CN" w:bidi="ar-SA"/>
              </w:rPr>
              <w:t>具有针对本项目的总体故障响应及应急处理计划及解决措施、出现突发故障的应急防控措施，包含设备故障处理方案，在设备修复期间须提供解决方案，保证各设备运行做到无缝对接，具有应急人员安排，具有日常紧急故障处理流程、方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4</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项目业绩分</w:t>
            </w:r>
          </w:p>
          <w:p>
            <w:pPr>
              <w:wordWrap w:val="0"/>
              <w:spacing w:line="360" w:lineRule="auto"/>
              <w:jc w:val="center"/>
              <w:rPr>
                <w:rFonts w:hint="eastAsia" w:eastAsia="宋体"/>
                <w:color w:val="auto"/>
                <w:sz w:val="24"/>
                <w:szCs w:val="24"/>
                <w:lang w:eastAsia="zh-CN"/>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供应商自2022年1月1日以来承接同类型项目业绩的，每个项目得2分，满分10分。[以合同或中标（成交）通知书原件的扫描件为准，并加盖供应商公章]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gridSpan w:val="3"/>
            <w:shd w:val="clear" w:color="auto" w:fill="auto"/>
            <w:vAlign w:val="center"/>
          </w:tcPr>
          <w:p>
            <w:pPr>
              <w:tabs>
                <w:tab w:val="left" w:pos="312"/>
              </w:tabs>
              <w:wordWrap w:val="0"/>
              <w:spacing w:line="360" w:lineRule="auto"/>
              <w:jc w:val="left"/>
              <w:rPr>
                <w:rFonts w:hint="default" w:ascii="宋体" w:hAnsi="宋体" w:eastAsia="宋体" w:cs="宋体"/>
                <w:color w:val="auto"/>
                <w:kern w:val="0"/>
                <w:sz w:val="24"/>
                <w:szCs w:val="24"/>
                <w:lang w:val="en-US" w:eastAsia="zh-CN"/>
              </w:rPr>
            </w:pPr>
            <w:r>
              <w:rPr>
                <w:rFonts w:hint="eastAsia" w:cs="宋体"/>
                <w:color w:val="auto"/>
                <w:kern w:val="0"/>
                <w:sz w:val="24"/>
                <w:szCs w:val="24"/>
                <w:lang w:eastAsia="zh-CN"/>
              </w:rPr>
              <w:t>总分</w:t>
            </w:r>
            <w:r>
              <w:rPr>
                <w:rFonts w:hint="eastAsia" w:cs="宋体"/>
                <w:color w:val="auto"/>
                <w:kern w:val="0"/>
                <w:sz w:val="24"/>
                <w:szCs w:val="24"/>
                <w:lang w:val="en-US" w:eastAsia="zh-CN"/>
              </w:rPr>
              <w:t>=1+2+3+4</w:t>
            </w:r>
          </w:p>
        </w:tc>
      </w:tr>
    </w:tbl>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7"/>
        <w:rPr>
          <w:b/>
          <w:bCs/>
          <w:color w:val="auto"/>
          <w:sz w:val="33"/>
          <w:highlight w:val="none"/>
        </w:rPr>
      </w:pPr>
    </w:p>
    <w:p>
      <w:pPr>
        <w:pStyle w:val="7"/>
        <w:numPr>
          <w:ilvl w:val="0"/>
          <w:numId w:val="6"/>
        </w:numPr>
        <w:ind w:left="541"/>
        <w:rPr>
          <w:b/>
          <w:bCs/>
          <w:color w:val="auto"/>
          <w:spacing w:val="2"/>
          <w:highlight w:val="none"/>
        </w:rPr>
      </w:pPr>
      <w:r>
        <w:rPr>
          <w:b/>
          <w:bCs/>
          <w:color w:val="auto"/>
          <w:spacing w:val="2"/>
          <w:highlight w:val="none"/>
        </w:rPr>
        <w:t>采购标的</w:t>
      </w:r>
    </w:p>
    <w:p>
      <w:pPr>
        <w:pStyle w:val="7"/>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7"/>
        <w:tblW w:w="9087" w:type="dxa"/>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3899"/>
        <w:gridCol w:w="1830"/>
        <w:gridCol w:w="136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28" w:type="dxa"/>
          </w:tcPr>
          <w:p>
            <w:pPr>
              <w:pStyle w:val="25"/>
              <w:spacing w:before="136"/>
              <w:ind w:left="129" w:right="125"/>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包号</w:t>
            </w:r>
          </w:p>
        </w:tc>
        <w:tc>
          <w:tcPr>
            <w:tcW w:w="3899" w:type="dxa"/>
          </w:tcPr>
          <w:p>
            <w:pPr>
              <w:pStyle w:val="25"/>
              <w:spacing w:before="136"/>
              <w:ind w:left="358"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标的名称</w:t>
            </w:r>
          </w:p>
        </w:tc>
        <w:tc>
          <w:tcPr>
            <w:tcW w:w="1830" w:type="dxa"/>
          </w:tcPr>
          <w:p>
            <w:pPr>
              <w:pStyle w:val="25"/>
              <w:spacing w:before="1"/>
              <w:ind w:left="95" w:right="8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采购包预算金额</w:t>
            </w:r>
          </w:p>
          <w:p>
            <w:pPr>
              <w:pStyle w:val="25"/>
              <w:spacing w:before="3" w:line="251" w:lineRule="exact"/>
              <w:ind w:left="92" w:right="8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（万元）</w:t>
            </w:r>
          </w:p>
        </w:tc>
        <w:tc>
          <w:tcPr>
            <w:tcW w:w="1365" w:type="dxa"/>
          </w:tcPr>
          <w:p>
            <w:pPr>
              <w:pStyle w:val="25"/>
              <w:spacing w:before="13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365" w:type="dxa"/>
          </w:tcPr>
          <w:p>
            <w:pPr>
              <w:pStyle w:val="25"/>
              <w:spacing w:before="13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28" w:type="dxa"/>
          </w:tcPr>
          <w:p>
            <w:pPr>
              <w:pStyle w:val="25"/>
              <w:spacing w:before="88"/>
              <w:ind w:left="129" w:right="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w w:val="115"/>
                <w:sz w:val="24"/>
                <w:szCs w:val="24"/>
              </w:rPr>
              <w:t>01</w:t>
            </w:r>
          </w:p>
        </w:tc>
        <w:tc>
          <w:tcPr>
            <w:tcW w:w="3899" w:type="dxa"/>
            <w:vAlign w:val="center"/>
          </w:tcPr>
          <w:p>
            <w:pPr>
              <w:pStyle w:val="25"/>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北海市妇幼保健院网络安全威胁态势感知系统年度维保服务</w:t>
            </w:r>
          </w:p>
        </w:tc>
        <w:tc>
          <w:tcPr>
            <w:tcW w:w="1830" w:type="dxa"/>
            <w:vAlign w:val="center"/>
          </w:tcPr>
          <w:p>
            <w:pPr>
              <w:pStyle w:val="25"/>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365" w:type="dxa"/>
            <w:vAlign w:val="center"/>
          </w:tcPr>
          <w:p>
            <w:pPr>
              <w:pStyle w:val="25"/>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1项</w:t>
            </w:r>
          </w:p>
        </w:tc>
        <w:tc>
          <w:tcPr>
            <w:tcW w:w="1365" w:type="dxa"/>
            <w:vAlign w:val="center"/>
          </w:tcPr>
          <w:p>
            <w:pPr>
              <w:pStyle w:val="25"/>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1年</w:t>
            </w:r>
          </w:p>
        </w:tc>
      </w:tr>
    </w:tbl>
    <w:p>
      <w:pPr>
        <w:pStyle w:val="7"/>
        <w:numPr>
          <w:ilvl w:val="0"/>
          <w:numId w:val="6"/>
        </w:numPr>
        <w:spacing w:before="219"/>
        <w:ind w:left="541" w:leftChars="0" w:firstLine="0" w:firstLineChars="0"/>
        <w:rPr>
          <w:rFonts w:hint="eastAsia" w:asciiTheme="minorEastAsia" w:hAnsiTheme="minorEastAsia" w:eastAsiaTheme="minorEastAsia" w:cstheme="minorEastAsia"/>
          <w:b/>
          <w:bCs/>
          <w:color w:val="auto"/>
          <w:spacing w:val="2"/>
          <w:sz w:val="24"/>
          <w:szCs w:val="24"/>
          <w:lang w:eastAsia="zh-CN"/>
        </w:rPr>
      </w:pPr>
      <w:r>
        <w:rPr>
          <w:rFonts w:hint="eastAsia" w:asciiTheme="minorEastAsia" w:hAnsiTheme="minorEastAsia" w:eastAsiaTheme="minorEastAsia" w:cstheme="minorEastAsia"/>
          <w:b/>
          <w:color w:val="auto"/>
          <w:sz w:val="24"/>
          <w:szCs w:val="24"/>
          <w:highlight w:val="none"/>
        </w:rPr>
        <w:t>项目要求及技术需求</w:t>
      </w:r>
    </w:p>
    <w:tbl>
      <w:tblPr>
        <w:tblStyle w:val="17"/>
        <w:tblpPr w:leftFromText="180" w:rightFromText="180" w:vertAnchor="text" w:horzAnchor="page" w:tblpX="1648" w:tblpY="34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889" w:hRule="atLeast"/>
        </w:trPr>
        <w:tc>
          <w:tcPr>
            <w:tcW w:w="9210" w:type="dxa"/>
            <w:tcMar>
              <w:top w:w="13" w:type="dxa"/>
              <w:left w:w="57" w:type="dxa"/>
              <w:bottom w:w="0" w:type="dxa"/>
              <w:right w:w="57" w:type="dxa"/>
            </w:tcMar>
            <w:vAlign w:val="top"/>
          </w:tcPr>
          <w:p>
            <w:pPr>
              <w:autoSpaceDE w:val="0"/>
              <w:spacing w:line="360" w:lineRule="auto"/>
              <w:rPr>
                <w:rFonts w:hint="eastAsia" w:ascii="宋体" w:hAnsi="宋体" w:eastAsia="宋体" w:cs="宋体"/>
                <w:szCs w:val="21"/>
                <w:highlight w:val="none"/>
                <w:lang w:bidi="ar"/>
              </w:rPr>
            </w:pPr>
            <w:r>
              <w:rPr>
                <w:rFonts w:hint="eastAsia" w:ascii="宋体" w:hAnsi="宋体" w:eastAsia="宋体" w:cs="宋体"/>
                <w:szCs w:val="21"/>
                <w:highlight w:val="none"/>
                <w:lang w:bidi="ar"/>
              </w:rPr>
              <w:t>▲1.提供1台奇安信天眼TSS10000-S52-WS 1年威胁检测模块升级，包含威胁情报、webshell检测规则、网页漏洞利用规则、网络攻击检测规则升级服务；</w:t>
            </w:r>
          </w:p>
          <w:p>
            <w:pPr>
              <w:autoSpaceDE w:val="0"/>
              <w:spacing w:line="360" w:lineRule="auto"/>
              <w:rPr>
                <w:rFonts w:hint="eastAsia" w:ascii="宋体" w:hAnsi="宋体" w:eastAsia="宋体" w:cs="宋体"/>
                <w:szCs w:val="21"/>
                <w:highlight w:val="none"/>
                <w:lang w:bidi="ar"/>
              </w:rPr>
            </w:pPr>
            <w:r>
              <w:rPr>
                <w:rFonts w:hint="eastAsia" w:ascii="宋体" w:hAnsi="宋体" w:eastAsia="宋体" w:cs="宋体"/>
                <w:szCs w:val="21"/>
                <w:highlight w:val="none"/>
                <w:lang w:bidi="ar"/>
              </w:rPr>
              <w:t>▲2.提供1台奇安信天眼TSS10000-A57-WS 1年威胁情报升级服务；</w:t>
            </w:r>
          </w:p>
          <w:p>
            <w:pPr>
              <w:autoSpaceDE w:val="0"/>
              <w:spacing w:line="360" w:lineRule="auto"/>
              <w:rPr>
                <w:rFonts w:hint="eastAsia" w:ascii="宋体" w:hAnsi="宋体" w:eastAsia="宋体" w:cs="宋体"/>
                <w:szCs w:val="21"/>
                <w:highlight w:val="none"/>
                <w:lang w:bidi="ar"/>
              </w:rPr>
            </w:pPr>
            <w:r>
              <w:rPr>
                <w:rFonts w:hint="eastAsia" w:ascii="宋体" w:hAnsi="宋体" w:eastAsia="宋体" w:cs="宋体"/>
                <w:szCs w:val="21"/>
                <w:highlight w:val="none"/>
                <w:lang w:bidi="ar"/>
              </w:rPr>
              <w:t>▲3. 提供TSS10000-A57-WS 1台，TSS10000-S52-WS 1台硬件维保服务各1年；</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4.威胁情报的威胁检测，检测类型包含APT事件、僵尸网络、勒索软件、流氓推广、窃密木马、网络蠕虫、远控木马、黑市工具、其他恶意软件，并可自定义威胁情报；</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5.支持与云端威胁情报中心联动，可对攻击IP、C&amp;C域名和恶意样本MD5进行一键搜索，查看基本信息、相关样本、关联URL、可视化分析、域名解析、注册信息、关联域名、数字证书等；</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威胁告警类别需要包括webshell上传、网页漏洞利用、网络攻击、APT事件、远控木马、窃密木马、僵尸网络、勒索软件、黑市工具、网络蠕虫、恶意样本执行、恶意样本投递；</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6.对于重要的未知威胁告警，将告知客户攻击的相关背景信息（攻击行业，受害范围）；</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7.能够对未知威胁告警进行处置，可设置不同状态对告警进行跟踪；</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8.支持对web漏洞利用检测规则、入侵检测规则等多种规则的配置，选择，可以有针对性的选择部分规则开启；</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9.能够对网络通信行为进行还原和记录，以供安全人员进行取证分析，还原内容包括：TCP会话记录、Web访问记录、SQL访问记录、DNS解析记录、文件传输行为、LDAP登录行为；</w:t>
            </w:r>
          </w:p>
          <w:p>
            <w:pPr>
              <w:autoSpaceDE w:val="0"/>
              <w:spacing w:line="360" w:lineRule="auto"/>
              <w:rPr>
                <w:rFonts w:ascii="宋体" w:hAnsi="宋体" w:eastAsia="宋体" w:cs="宋体"/>
                <w:szCs w:val="21"/>
                <w:lang w:bidi="ar"/>
              </w:rPr>
            </w:pPr>
            <w:r>
              <w:rPr>
                <w:rFonts w:hint="eastAsia" w:ascii="宋体" w:hAnsi="宋体" w:eastAsia="宋体" w:cs="宋体"/>
                <w:szCs w:val="21"/>
                <w:lang w:bidi="ar"/>
              </w:rPr>
              <w:t>10.支持在线升级和离线升级两种升级方式，并支持定时自动升级；</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11.支持对任意线索的自定义拓线及溯源取证分析，支持以可视化分析画布形式展示拓线过程并支持结果快照导出；支持对于给定线索的溯源结果展示，包括但不限于攻击溯源、失陷主机分析、暴力破解分析、弱口令分析等（投标文件需提供能够体现上述功能配置截图）。</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▲12.支持工作流程自定义编排，支持联动服务管理，支持python语言与javascript语言在web页面编辑联动服务（投标文件需提供能够体现上述功能配置截图）。</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13.支持告警日志检索，可基于时间、告警类型、文件MD5、文件名、文件传输方向、攻击方式、攻击结果、来源/目的所属国、IP地址、上下行负载等多字段混合搜索。</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14.支持大屏展示综合态势包括整体系统概况、威胁等级分布、告警趋势、不同维度的攻击数量统计、攻击阶段等。</w:t>
            </w:r>
          </w:p>
          <w:p>
            <w:pPr>
              <w:autoSpaceDE w:val="0"/>
              <w:spacing w:line="360" w:lineRule="auto"/>
              <w:rPr>
                <w:rFonts w:hint="eastAsia" w:ascii="宋体" w:hAnsi="宋体" w:eastAsia="宋体" w:cs="宋体"/>
                <w:szCs w:val="21"/>
                <w:lang w:bidi="ar"/>
              </w:rPr>
            </w:pPr>
            <w:r>
              <w:rPr>
                <w:rFonts w:hint="eastAsia" w:ascii="宋体" w:hAnsi="宋体" w:eastAsia="宋体" w:cs="宋体"/>
                <w:szCs w:val="21"/>
                <w:lang w:bidi="ar"/>
              </w:rPr>
              <w:t>▲15.能够通过钉钉或者飞书推送告警，方便在手机端接收威胁感知系统的告警信息（投标文件需提供能够体现上述功能配置截图）。</w:t>
            </w:r>
          </w:p>
          <w:p>
            <w:pPr>
              <w:pStyle w:val="22"/>
              <w:numPr>
                <w:ilvl w:val="0"/>
                <w:numId w:val="0"/>
              </w:numPr>
              <w:ind w:right="0" w:rightChars="0"/>
              <w:jc w:val="both"/>
              <w:rPr>
                <w:rFonts w:hint="eastAsia" w:ascii="宋体" w:hAnsi="宋体" w:eastAsia="宋体" w:cs="宋体"/>
                <w:szCs w:val="21"/>
                <w:lang w:eastAsia="zh-CN" w:bidi="ar"/>
              </w:rPr>
            </w:pPr>
            <w:r>
              <w:rPr>
                <w:rFonts w:hint="eastAsia" w:ascii="宋体" w:hAnsi="宋体" w:eastAsia="宋体" w:cs="宋体"/>
                <w:szCs w:val="21"/>
                <w:lang w:bidi="ar"/>
              </w:rPr>
              <w:t>▲16.投标人具备配置设备告警自动化关联到威胁情报库的能力，对发现高危告警事件进行深度分析。深度分析能力不少于以下8个维度:I0C自动化数据流检测、失陷情报批量查询、样本哈希批量查询、样本自动化分析、恶意 IP 批量查询、APT 样本自动化检测器、PCAP 自动化分析、邮件批量自动化检测。(在响应文件中提供功能界面截图)</w:t>
            </w:r>
            <w:r>
              <w:rPr>
                <w:rFonts w:hint="eastAsia" w:ascii="宋体" w:hAnsi="宋体" w:eastAsia="宋体" w:cs="宋体"/>
                <w:szCs w:val="21"/>
                <w:lang w:eastAsia="zh-CN" w:bidi="ar"/>
              </w:rPr>
              <w:t>。</w:t>
            </w:r>
          </w:p>
          <w:p>
            <w:pP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注：本项目中标注</w:t>
            </w:r>
            <w:r>
              <w:rPr>
                <w:rFonts w:hint="eastAsia" w:ascii="宋体" w:hAnsi="宋体" w:eastAsia="宋体" w:cs="宋体"/>
                <w:szCs w:val="21"/>
                <w:highlight w:val="none"/>
              </w:rPr>
              <w:t>▲</w:t>
            </w:r>
            <w:r>
              <w:rPr>
                <w:rFonts w:hint="eastAsia" w:ascii="宋体" w:hAnsi="宋体" w:eastAsia="宋体" w:cs="宋体"/>
                <w:b/>
                <w:color w:val="000000" w:themeColor="text1"/>
                <w:highlight w:val="none"/>
                <w14:textFill>
                  <w14:solidFill>
                    <w14:schemeClr w14:val="tx1"/>
                  </w14:solidFill>
                </w14:textFill>
              </w:rPr>
              <w:t>号的内容为实质性要求和条件，须满足或响应，若无法完全满足，将会被认定为无效投标。</w:t>
            </w:r>
          </w:p>
          <w:p>
            <w:pPr>
              <w:pStyle w:val="22"/>
              <w:numPr>
                <w:ilvl w:val="0"/>
                <w:numId w:val="0"/>
              </w:numPr>
              <w:ind w:right="0" w:rightChars="0"/>
              <w:jc w:val="both"/>
              <w:rPr>
                <w:rFonts w:hint="eastAsia" w:ascii="宋体" w:hAnsi="宋体" w:eastAsia="宋体" w:cs="宋体"/>
                <w:szCs w:val="21"/>
                <w:lang w:val="en-US" w:eastAsia="zh-CN" w:bidi="ar"/>
              </w:rPr>
            </w:pPr>
          </w:p>
        </w:tc>
      </w:tr>
    </w:tbl>
    <w:p>
      <w:pPr>
        <w:rPr>
          <w:rFonts w:hint="eastAsia" w:asciiTheme="minorEastAsia" w:hAnsiTheme="minorEastAsia" w:eastAsiaTheme="minorEastAsia" w:cstheme="minorEastAsia"/>
          <w:color w:val="auto"/>
          <w:spacing w:val="2"/>
          <w:sz w:val="22"/>
          <w:szCs w:val="22"/>
          <w:highlight w:val="none"/>
        </w:rPr>
      </w:pPr>
    </w:p>
    <w:p>
      <w:pPr>
        <w:pStyle w:val="1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1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1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1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1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1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1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1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11"/>
        <w:rPr>
          <w:rFonts w:hint="eastAsia" w:asciiTheme="minorEastAsia" w:hAnsiTheme="minorEastAsia" w:eastAsiaTheme="minorEastAsia" w:cstheme="minorEastAsia"/>
          <w:color w:val="auto"/>
          <w:spacing w:val="2"/>
          <w:sz w:val="22"/>
          <w:szCs w:val="22"/>
          <w:highlight w:val="none"/>
        </w:rPr>
      </w:pPr>
    </w:p>
    <w:p>
      <w:pPr>
        <w:pStyle w:val="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w:t>
      </w:r>
      <w:r>
        <w:rPr>
          <w:rFonts w:hint="eastAsia" w:asciiTheme="minorEastAsia" w:hAnsiTheme="minorEastAsia" w:eastAsiaTheme="minorEastAsia" w:cstheme="minorEastAsia"/>
          <w:b/>
          <w:bCs/>
          <w:color w:val="auto"/>
          <w:spacing w:val="2"/>
          <w:sz w:val="22"/>
          <w:szCs w:val="22"/>
          <w:highlight w:val="none"/>
        </w:rPr>
        <w:t>商务要求</w:t>
      </w:r>
    </w:p>
    <w:p>
      <w:pPr>
        <w:rPr>
          <w:rFonts w:hint="eastAsia"/>
        </w:rPr>
      </w:pPr>
    </w:p>
    <w:tbl>
      <w:tblPr>
        <w:tblStyle w:val="18"/>
        <w:tblW w:w="0" w:type="auto"/>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spacing w:line="360" w:lineRule="auto"/>
              <w:rPr>
                <w:ins w:id="0" w:author="lin" w:date="2025-07-02T17:54:02Z"/>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一、付款方式：服务费按季度支付，由服务方开具正式发票，采购方收到合规发票后 60 日内支付服务费。</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维保</w:t>
            </w:r>
            <w:r>
              <w:rPr>
                <w:rFonts w:hint="eastAsia" w:asciiTheme="minorEastAsia" w:hAnsiTheme="minorEastAsia" w:eastAsiaTheme="minorEastAsia" w:cstheme="minorEastAsia"/>
                <w:color w:val="auto"/>
                <w:sz w:val="24"/>
                <w:szCs w:val="24"/>
                <w:highlight w:val="none"/>
              </w:rPr>
              <w:t>服务期限：</w:t>
            </w:r>
            <w:r>
              <w:rPr>
                <w:rFonts w:hint="eastAsia" w:asciiTheme="minorEastAsia" w:hAnsiTheme="minorEastAsia" w:eastAsiaTheme="minorEastAsia" w:cstheme="minorEastAsia"/>
                <w:color w:val="auto"/>
                <w:sz w:val="24"/>
                <w:szCs w:val="24"/>
                <w:highlight w:val="none"/>
                <w:lang w:val="en-US" w:eastAsia="zh-CN"/>
              </w:rPr>
              <w:t>1年。</w:t>
            </w:r>
          </w:p>
          <w:p>
            <w:pPr>
              <w:spacing w:line="360" w:lineRule="auto"/>
              <w:rPr>
                <w:ins w:id="1" w:author="lin" w:date="2025-07-02T17:54:12Z"/>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三、服务地点：</w:t>
            </w:r>
            <w:r>
              <w:rPr>
                <w:rFonts w:hint="eastAsia" w:asciiTheme="minorEastAsia" w:hAnsiTheme="minorEastAsia" w:eastAsiaTheme="minorEastAsia" w:cstheme="minorEastAsia"/>
                <w:color w:val="auto"/>
                <w:sz w:val="24"/>
                <w:szCs w:val="24"/>
                <w:highlight w:val="none"/>
                <w:lang w:eastAsia="zh-CN"/>
              </w:rPr>
              <w:t>北海市妇幼保健院内指定地点。</w:t>
            </w:r>
          </w:p>
          <w:p>
            <w:pPr>
              <w:pStyle w:val="7"/>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pStyle w:val="11"/>
        <w:rPr>
          <w:rFonts w:hint="eastAsia"/>
        </w:rPr>
      </w:pPr>
    </w:p>
    <w:p>
      <w:pPr>
        <w:rPr>
          <w:rFonts w:hint="eastAsia"/>
        </w:rPr>
      </w:pPr>
    </w:p>
    <w:p>
      <w:pPr>
        <w:pStyle w:val="11"/>
        <w:rPr>
          <w:rFonts w:hint="eastAsia"/>
          <w:b/>
          <w:bCs/>
          <w:sz w:val="24"/>
          <w:szCs w:val="36"/>
          <w:lang w:eastAsia="zh-CN"/>
        </w:rPr>
      </w:pPr>
    </w:p>
    <w:p>
      <w:pPr>
        <w:pStyle w:val="11"/>
        <w:rPr>
          <w:rFonts w:hint="eastAsia"/>
          <w:b/>
          <w:bCs/>
          <w:sz w:val="24"/>
          <w:szCs w:val="36"/>
          <w:lang w:val="en-US" w:eastAsia="zh-CN"/>
        </w:rPr>
      </w:pPr>
      <w:r>
        <w:rPr>
          <w:rFonts w:hint="eastAsia"/>
          <w:b/>
          <w:bCs/>
          <w:sz w:val="24"/>
          <w:szCs w:val="36"/>
          <w:lang w:eastAsia="zh-CN"/>
        </w:rPr>
        <w:t>附件</w:t>
      </w:r>
      <w:r>
        <w:rPr>
          <w:rFonts w:hint="eastAsia"/>
          <w:b/>
          <w:bCs/>
          <w:sz w:val="24"/>
          <w:szCs w:val="36"/>
          <w:lang w:val="en-US" w:eastAsia="zh-CN"/>
        </w:rPr>
        <w:t>1：态势感知年度维保服务考核表</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8"/>
        <w:gridCol w:w="1707"/>
        <w:gridCol w:w="1936"/>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Style w:val="28"/>
                <w:lang w:val="en-US" w:eastAsia="zh-CN" w:bidi="ar"/>
              </w:rPr>
              <w:t xml:space="preserve">                                                设备类□ 家具用具类□  信息类</w:t>
            </w:r>
            <w:r>
              <w:rPr>
                <w:rStyle w:val="29"/>
                <w:lang w:val="en-US" w:eastAsia="zh-CN" w:bidi="ar"/>
              </w:rPr>
              <w:t>R</w:t>
            </w:r>
            <w:r>
              <w:rPr>
                <w:rStyle w:val="28"/>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采购项目（产品名称）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态势感知监测服务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使用科室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合同约定服务期限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Arial" w:hAnsi="Arial" w:eastAsia="等线" w:cs="Arial"/>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合同编号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服务商名称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项目经理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服务期内采购项目使用情况：（注：以下三项为必达项，任何项没完成即考核不通过）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1、采购项目是否正常使用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2、采购项目在使用过程各项性能及技术指标是否达到合同要求；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3、采购项目出现故障，供应商是否按合同约定及时响应并解决。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是否符合考核要求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考核项目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考核标准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考核方法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评定结果（优□ 良□  及格□  不及格□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流量采集与识别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网络协议识别：支持常见协议识别并还原网络流量，用于取证分析、威胁发现。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支持：tcp、udp、icmp、http、dns、dhcp、smtp、pop3、imap、webmail、db2、oracle、mysql、mssql-db、sctp、sybase、smb、sip、ftp、snmp、telnet、nfs、ssl、ssh、ldap、radius、kerberos、netbios、ntp、vnc、ipv6、tidb、kingbase、mqtt等。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优□   良□   及格□   不及格□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日志外发支持配置网络日志外发的标准模式、精简模式、自定义模式。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支持外发的网络日志的类型包括：TCP流量、UDP流量、异常流量、SSL加密协商、登录行为、域名解析、文件传输、FTP控制通道、LDAP行为、web访问、邮件行为、数据库操作、telnet命令、旁路阻断、MQ流量、Radius行为、Kerberos行为、ICMP流量、syn流量、DHCP解析等20种网络日志。每种网络日志，都支持自定义配置外发的字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优□   良□   及格□   不及格□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流量威胁检测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WEB攻击检测支持常见攻击行为检测，支持HTTP双向流量动态检测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检出类型包括：中国菜刀、蚁剑、冰蝎、哥斯拉、小马生成器webshell上传攻击检测，HTTP代理程序等。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优□   良□   及格□   不及格□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WEBSHELL攻击检测支持基于工具特征的WebShell检测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检出类型包括：各种协议的帐号暴力破解，Mysql UDF提权攻击、Microsoft Windows NetLogon权限提升漏洞攻击，向日葵、TeamViewer，psexec远程执行、smbexec在目标上远程执行命令，DCSync_DCShadow疑似攻击、域用户口令爆破行为、域内密码喷洒攻击，njRat后门程序变种通信行为、Cobaltstrike HTTPS beacon通信等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优□   良□   及格□   不及格□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网络攻击检测支持网络攻击检测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检测类型包括：ICMP、DNS协议等隐蔽隧道攻击检测，恶意软件加密通信的检测，加密web应用的流量检测，非法应用加密通信的检测，SSL加密协议相关的漏洞与攻击的检测，加密通道攻击行为检测，支持JA3指纹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优□   良□   及格□   不及格□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加密流量攻击检测支持隐秘信道检测。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检测类型包括：ICMP、DNS协议等隐蔽隧道攻击检测，恶意软件加密通信的检测，加密web应用的流量检测，非法应用加密通信的检测，SSL加密协议相关的漏洞与攻击的检测，加密通道攻击行为检测，支持JA3指纹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优□   良□   及格□   不及格□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挖矿检测能力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支持门罗币、莱特币、以太坊、比特币、斯特币等24+多种币种的检测。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优□   良□   及格□   不及格□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符合□   不符合□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 xml:space="preserve">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使用科室经办人：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使用科室负责人：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年     月    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年     月    日</w:t>
            </w:r>
          </w:p>
        </w:tc>
      </w:tr>
    </w:tbl>
    <w:p>
      <w:pPr>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default"/>
          <w:lang w:val="en-US" w:eastAsia="zh-CN"/>
        </w:rPr>
        <w:sectPr>
          <w:pgSz w:w="11910" w:h="16840"/>
          <w:pgMar w:top="1111" w:right="560" w:bottom="969" w:left="765" w:header="879" w:footer="892" w:gutter="0"/>
          <w:cols w:space="720" w:num="1"/>
        </w:sectPr>
      </w:pPr>
    </w:p>
    <w:p>
      <w:pPr>
        <w:rPr>
          <w:color w:val="auto"/>
        </w:rPr>
      </w:pPr>
    </w:p>
    <w:p>
      <w:pPr>
        <w:pStyle w:val="3"/>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7"/>
        <w:ind w:left="683"/>
        <w:rPr>
          <w:rFonts w:hint="eastAsia" w:eastAsia="宋体"/>
          <w:color w:val="auto"/>
          <w:lang w:eastAsia="zh-CN"/>
        </w:rPr>
      </w:pPr>
      <w:r>
        <w:rPr>
          <w:color w:val="auto"/>
        </w:rPr>
        <w:t>供应商编制文件须知</w:t>
      </w:r>
      <w:r>
        <w:rPr>
          <w:rFonts w:hint="eastAsia"/>
          <w:color w:val="auto"/>
          <w:lang w:eastAsia="zh-CN"/>
        </w:rPr>
        <w:t>：</w:t>
      </w:r>
    </w:p>
    <w:p>
      <w:pPr>
        <w:pStyle w:val="7"/>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7"/>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内比选</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院内比选</w:t>
      </w:r>
      <w:r>
        <w:rPr>
          <w:color w:val="auto"/>
          <w:highlight w:val="none"/>
        </w:rPr>
        <w:t>文件未提供格式的内容，可由供应商自行编写。</w:t>
      </w:r>
    </w:p>
    <w:p>
      <w:pPr>
        <w:pStyle w:val="7"/>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1020" w:bottom="969" w:left="1160" w:header="879" w:footer="892" w:gutter="0"/>
          <w:cols w:space="720" w:num="1"/>
        </w:sectPr>
      </w:pPr>
    </w:p>
    <w:p>
      <w:pPr>
        <w:pStyle w:val="7"/>
        <w:spacing w:before="7"/>
        <w:rPr>
          <w:color w:val="auto"/>
          <w:sz w:val="19"/>
        </w:rPr>
      </w:pPr>
    </w:p>
    <w:p>
      <w:pPr>
        <w:pStyle w:val="7"/>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7"/>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0"/>
        </w:numPr>
        <w:tabs>
          <w:tab w:val="left" w:pos="813"/>
        </w:tabs>
        <w:spacing w:before="72" w:after="0" w:line="240" w:lineRule="auto"/>
        <w:ind w:left="540" w:leftChars="0" w:right="0" w:rightChars="0"/>
        <w:jc w:val="left"/>
        <w:rPr>
          <w:rFonts w:ascii="Tahoma" w:eastAsia="Tahoma"/>
          <w:color w:val="auto"/>
          <w:sz w:val="24"/>
        </w:rPr>
      </w:pPr>
    </w:p>
    <w:p>
      <w:pPr>
        <w:pStyle w:val="24"/>
        <w:numPr>
          <w:ilvl w:val="0"/>
          <w:numId w:val="7"/>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24"/>
        <w:numPr>
          <w:ilvl w:val="1"/>
          <w:numId w:val="7"/>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24"/>
        <w:numPr>
          <w:ilvl w:val="1"/>
          <w:numId w:val="7"/>
        </w:numPr>
        <w:tabs>
          <w:tab w:val="left" w:pos="1053"/>
        </w:tabs>
        <w:spacing w:before="72" w:after="0" w:line="240" w:lineRule="auto"/>
        <w:ind w:left="1052" w:right="0" w:hanging="512"/>
        <w:jc w:val="left"/>
        <w:rPr>
          <w:color w:val="auto"/>
          <w:sz w:val="24"/>
        </w:rPr>
      </w:pPr>
      <w:r>
        <w:rPr>
          <w:color w:val="auto"/>
          <w:sz w:val="24"/>
        </w:rPr>
        <w:t>供应商资格声明书</w:t>
      </w:r>
    </w:p>
    <w:p>
      <w:pPr>
        <w:pStyle w:val="7"/>
        <w:spacing w:before="5"/>
        <w:jc w:val="center"/>
        <w:rPr>
          <w:b/>
          <w:bCs/>
          <w:color w:val="auto"/>
          <w:sz w:val="36"/>
          <w:szCs w:val="36"/>
        </w:rPr>
      </w:pPr>
      <w:r>
        <w:rPr>
          <w:b/>
          <w:bCs/>
          <w:color w:val="auto"/>
          <w:sz w:val="36"/>
          <w:szCs w:val="36"/>
        </w:rPr>
        <w:t>供应商资格声明书</w:t>
      </w:r>
    </w:p>
    <w:p>
      <w:pPr>
        <w:pStyle w:val="7"/>
        <w:spacing w:before="12"/>
        <w:rPr>
          <w:color w:val="auto"/>
          <w:sz w:val="27"/>
        </w:rPr>
      </w:pPr>
    </w:p>
    <w:p>
      <w:pPr>
        <w:pStyle w:val="7"/>
        <w:spacing w:before="66"/>
        <w:ind w:left="541"/>
        <w:rPr>
          <w:color w:val="auto"/>
        </w:rPr>
      </w:pPr>
      <w:r>
        <w:rPr>
          <w:color w:val="auto"/>
        </w:rPr>
        <w:t>致：</w:t>
      </w:r>
      <w:r>
        <w:rPr>
          <w:color w:val="auto"/>
          <w:u w:val="single"/>
        </w:rPr>
        <w:t>采购人或采购代理机构</w:t>
      </w:r>
    </w:p>
    <w:p>
      <w:pPr>
        <w:pStyle w:val="7"/>
        <w:spacing w:before="161"/>
        <w:ind w:left="1021"/>
        <w:rPr>
          <w:color w:val="auto"/>
        </w:rPr>
      </w:pPr>
      <w:r>
        <w:rPr>
          <w:color w:val="auto"/>
        </w:rPr>
        <w:t>在参与本次项目</w:t>
      </w:r>
      <w:r>
        <w:rPr>
          <w:rFonts w:hint="eastAsia"/>
          <w:color w:val="auto"/>
          <w:lang w:eastAsia="zh-CN"/>
        </w:rPr>
        <w:t>比选</w:t>
      </w:r>
      <w:r>
        <w:rPr>
          <w:color w:val="auto"/>
        </w:rPr>
        <w:t>中，我单位承诺：</w:t>
      </w:r>
    </w:p>
    <w:p>
      <w:pPr>
        <w:pStyle w:val="7"/>
        <w:spacing w:before="158"/>
        <w:ind w:left="954"/>
        <w:rPr>
          <w:color w:val="auto"/>
        </w:rPr>
      </w:pPr>
      <w:r>
        <w:rPr>
          <w:color w:val="auto"/>
        </w:rPr>
        <w:t>（一）具有良好的商业信誉和健全的财务会计制度；</w:t>
      </w:r>
    </w:p>
    <w:p>
      <w:pPr>
        <w:pStyle w:val="7"/>
        <w:spacing w:before="158"/>
        <w:ind w:left="954"/>
        <w:rPr>
          <w:color w:val="auto"/>
        </w:rPr>
      </w:pPr>
      <w:r>
        <w:rPr>
          <w:color w:val="auto"/>
        </w:rPr>
        <w:t>（二）具有履行合同所必需的设备和专业技术能力；</w:t>
      </w:r>
    </w:p>
    <w:p>
      <w:pPr>
        <w:pStyle w:val="7"/>
        <w:spacing w:before="160"/>
        <w:ind w:left="954"/>
        <w:rPr>
          <w:color w:val="auto"/>
        </w:rPr>
      </w:pPr>
      <w:r>
        <w:rPr>
          <w:color w:val="auto"/>
        </w:rPr>
        <w:t>（三）有依法缴纳税收和社会保障资金的良好记录；</w:t>
      </w:r>
    </w:p>
    <w:p>
      <w:pPr>
        <w:pStyle w:val="7"/>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7"/>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7"/>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7"/>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5"/>
              <w:spacing w:before="56"/>
              <w:ind w:left="215" w:right="205"/>
              <w:jc w:val="center"/>
              <w:rPr>
                <w:color w:val="auto"/>
                <w:sz w:val="24"/>
              </w:rPr>
            </w:pPr>
            <w:r>
              <w:rPr>
                <w:color w:val="auto"/>
                <w:sz w:val="24"/>
              </w:rPr>
              <w:t>序号</w:t>
            </w:r>
          </w:p>
        </w:tc>
        <w:tc>
          <w:tcPr>
            <w:tcW w:w="4574" w:type="dxa"/>
          </w:tcPr>
          <w:p>
            <w:pPr>
              <w:pStyle w:val="25"/>
              <w:spacing w:before="56"/>
              <w:ind w:left="1787" w:right="1776"/>
              <w:jc w:val="center"/>
              <w:rPr>
                <w:color w:val="auto"/>
                <w:sz w:val="24"/>
              </w:rPr>
            </w:pPr>
            <w:r>
              <w:rPr>
                <w:color w:val="auto"/>
                <w:sz w:val="24"/>
              </w:rPr>
              <w:t>单位名称</w:t>
            </w:r>
          </w:p>
        </w:tc>
        <w:tc>
          <w:tcPr>
            <w:tcW w:w="2976" w:type="dxa"/>
          </w:tcPr>
          <w:p>
            <w:pPr>
              <w:pStyle w:val="25"/>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25"/>
              <w:spacing w:before="51"/>
              <w:ind w:left="9"/>
              <w:jc w:val="center"/>
              <w:rPr>
                <w:rFonts w:ascii="Tahoma"/>
                <w:color w:val="auto"/>
                <w:sz w:val="24"/>
              </w:rPr>
            </w:pPr>
            <w:r>
              <w:rPr>
                <w:rFonts w:ascii="Tahoma"/>
                <w:color w:val="auto"/>
                <w:w w:val="116"/>
                <w:sz w:val="24"/>
              </w:rPr>
              <w:t>1</w:t>
            </w:r>
          </w:p>
        </w:tc>
        <w:tc>
          <w:tcPr>
            <w:tcW w:w="4574" w:type="dxa"/>
          </w:tcPr>
          <w:p>
            <w:pPr>
              <w:pStyle w:val="25"/>
              <w:rPr>
                <w:rFonts w:ascii="Times New Roman"/>
                <w:color w:val="auto"/>
                <w:sz w:val="22"/>
              </w:rPr>
            </w:pPr>
          </w:p>
        </w:tc>
        <w:tc>
          <w:tcPr>
            <w:tcW w:w="2976"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5"/>
              <w:spacing w:before="52"/>
              <w:ind w:left="9"/>
              <w:jc w:val="center"/>
              <w:rPr>
                <w:rFonts w:ascii="Tahoma"/>
                <w:color w:val="auto"/>
                <w:sz w:val="24"/>
              </w:rPr>
            </w:pPr>
            <w:r>
              <w:rPr>
                <w:rFonts w:ascii="Tahoma"/>
                <w:color w:val="auto"/>
                <w:w w:val="116"/>
                <w:sz w:val="24"/>
              </w:rPr>
              <w:t>2</w:t>
            </w:r>
          </w:p>
        </w:tc>
        <w:tc>
          <w:tcPr>
            <w:tcW w:w="4574" w:type="dxa"/>
          </w:tcPr>
          <w:p>
            <w:pPr>
              <w:pStyle w:val="25"/>
              <w:rPr>
                <w:rFonts w:ascii="Times New Roman"/>
                <w:color w:val="auto"/>
                <w:sz w:val="22"/>
              </w:rPr>
            </w:pPr>
          </w:p>
        </w:tc>
        <w:tc>
          <w:tcPr>
            <w:tcW w:w="2976"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5"/>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25"/>
              <w:rPr>
                <w:rFonts w:ascii="Times New Roman"/>
                <w:color w:val="auto"/>
                <w:sz w:val="22"/>
              </w:rPr>
            </w:pPr>
          </w:p>
        </w:tc>
        <w:tc>
          <w:tcPr>
            <w:tcW w:w="2976" w:type="dxa"/>
          </w:tcPr>
          <w:p>
            <w:pPr>
              <w:pStyle w:val="25"/>
              <w:rPr>
                <w:rFonts w:ascii="Times New Roman"/>
                <w:color w:val="auto"/>
                <w:sz w:val="22"/>
              </w:rPr>
            </w:pPr>
          </w:p>
        </w:tc>
      </w:tr>
    </w:tbl>
    <w:p>
      <w:pPr>
        <w:pStyle w:val="7"/>
        <w:spacing w:before="10"/>
        <w:rPr>
          <w:color w:val="auto"/>
          <w:sz w:val="18"/>
        </w:rPr>
      </w:pPr>
    </w:p>
    <w:p>
      <w:pPr>
        <w:pStyle w:val="7"/>
        <w:ind w:left="1021"/>
        <w:rPr>
          <w:color w:val="auto"/>
        </w:rPr>
      </w:pPr>
      <w:r>
        <w:rPr>
          <w:color w:val="auto"/>
        </w:rPr>
        <w:t>上述声明真实有效，否则我方负全部责任。</w:t>
      </w:r>
    </w:p>
    <w:p>
      <w:pPr>
        <w:pStyle w:val="7"/>
        <w:rPr>
          <w:color w:val="auto"/>
          <w:sz w:val="35"/>
        </w:rPr>
      </w:pPr>
    </w:p>
    <w:p>
      <w:pPr>
        <w:pStyle w:val="7"/>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7"/>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24"/>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7"/>
        <w:rPr>
          <w:color w:val="auto"/>
          <w:sz w:val="20"/>
        </w:rPr>
      </w:pPr>
    </w:p>
    <w:p>
      <w:pPr>
        <w:pStyle w:val="7"/>
        <w:spacing w:before="4"/>
        <w:rPr>
          <w:color w:val="auto"/>
          <w:sz w:val="21"/>
        </w:rPr>
      </w:pPr>
    </w:p>
    <w:p>
      <w:pPr>
        <w:pStyle w:val="3"/>
        <w:spacing w:before="49"/>
        <w:ind w:right="32"/>
        <w:rPr>
          <w:color w:val="auto"/>
        </w:rPr>
      </w:pPr>
      <w:r>
        <w:rPr>
          <w:color w:val="auto"/>
        </w:rPr>
        <w:t>响应书</w:t>
      </w:r>
    </w:p>
    <w:p>
      <w:pPr>
        <w:pStyle w:val="7"/>
        <w:spacing w:before="7"/>
        <w:rPr>
          <w:color w:val="auto"/>
          <w:sz w:val="13"/>
        </w:rPr>
      </w:pPr>
    </w:p>
    <w:p>
      <w:pPr>
        <w:pStyle w:val="7"/>
        <w:spacing w:before="66"/>
        <w:ind w:left="541"/>
        <w:rPr>
          <w:color w:val="auto"/>
        </w:rPr>
      </w:pPr>
      <w:r>
        <w:rPr>
          <w:color w:val="auto"/>
          <w:spacing w:val="-60"/>
        </w:rPr>
        <w:t>致：</w:t>
      </w:r>
      <w:r>
        <w:rPr>
          <w:color w:val="auto"/>
          <w:u w:val="single"/>
        </w:rPr>
        <w:t>（采购人或采购代理机构）</w:t>
      </w:r>
    </w:p>
    <w:p>
      <w:pPr>
        <w:pStyle w:val="7"/>
        <w:rPr>
          <w:color w:val="auto"/>
          <w:sz w:val="20"/>
        </w:rPr>
      </w:pPr>
    </w:p>
    <w:p>
      <w:pPr>
        <w:pStyle w:val="7"/>
        <w:spacing w:before="8"/>
        <w:rPr>
          <w:color w:val="auto"/>
          <w:sz w:val="18"/>
        </w:rPr>
      </w:pPr>
    </w:p>
    <w:p>
      <w:pPr>
        <w:pStyle w:val="7"/>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比选</w:t>
      </w:r>
      <w:r>
        <w:rPr>
          <w:color w:val="auto"/>
        </w:rPr>
        <w:t>。</w:t>
      </w:r>
    </w:p>
    <w:p>
      <w:pPr>
        <w:pStyle w:val="24"/>
        <w:numPr>
          <w:ilvl w:val="0"/>
          <w:numId w:val="8"/>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比选</w:t>
      </w:r>
      <w:r>
        <w:rPr>
          <w:color w:val="auto"/>
          <w:sz w:val="24"/>
        </w:rPr>
        <w:t>文件，自愿参与</w:t>
      </w:r>
      <w:r>
        <w:rPr>
          <w:rFonts w:hint="eastAsia"/>
          <w:color w:val="auto"/>
          <w:sz w:val="24"/>
          <w:lang w:eastAsia="zh-CN"/>
        </w:rPr>
        <w:t>比选</w:t>
      </w:r>
      <w:r>
        <w:rPr>
          <w:color w:val="auto"/>
          <w:sz w:val="24"/>
        </w:rPr>
        <w:t>并承诺如下：</w:t>
      </w:r>
    </w:p>
    <w:p>
      <w:pPr>
        <w:pStyle w:val="24"/>
        <w:numPr>
          <w:ilvl w:val="0"/>
          <w:numId w:val="9"/>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24"/>
        <w:numPr>
          <w:ilvl w:val="0"/>
          <w:numId w:val="9"/>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比选</w:t>
      </w:r>
      <w:r>
        <w:rPr>
          <w:color w:val="auto"/>
          <w:sz w:val="24"/>
        </w:rPr>
        <w:t>文件的全部要求。</w:t>
      </w:r>
    </w:p>
    <w:p>
      <w:pPr>
        <w:pStyle w:val="24"/>
        <w:numPr>
          <w:ilvl w:val="0"/>
          <w:numId w:val="9"/>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24"/>
        <w:numPr>
          <w:ilvl w:val="0"/>
          <w:numId w:val="9"/>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24"/>
        <w:numPr>
          <w:ilvl w:val="0"/>
          <w:numId w:val="8"/>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7"/>
        <w:spacing w:before="158"/>
        <w:ind w:left="1021"/>
        <w:rPr>
          <w:color w:val="auto"/>
        </w:rPr>
      </w:pPr>
      <w:r>
        <w:rPr>
          <w:color w:val="auto"/>
        </w:rPr>
        <w:t>与本</w:t>
      </w:r>
      <w:r>
        <w:rPr>
          <w:rFonts w:hint="eastAsia"/>
          <w:color w:val="auto"/>
          <w:lang w:eastAsia="zh-CN"/>
        </w:rPr>
        <w:t>比选</w:t>
      </w:r>
      <w:r>
        <w:rPr>
          <w:color w:val="auto"/>
        </w:rPr>
        <w:t>有关的一切正式往来信函请寄：</w:t>
      </w:r>
    </w:p>
    <w:p>
      <w:pPr>
        <w:pStyle w:val="7"/>
        <w:rPr>
          <w:color w:val="auto"/>
        </w:rPr>
      </w:pPr>
    </w:p>
    <w:p>
      <w:pPr>
        <w:pStyle w:val="7"/>
        <w:spacing w:before="1"/>
        <w:rPr>
          <w:color w:val="auto"/>
          <w:sz w:val="21"/>
        </w:rPr>
      </w:pPr>
    </w:p>
    <w:p>
      <w:pPr>
        <w:pStyle w:val="7"/>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18"/>
        </w:rPr>
      </w:pPr>
    </w:p>
    <w:p>
      <w:pPr>
        <w:pStyle w:val="7"/>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24"/>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7"/>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7"/>
        <w:spacing w:before="12"/>
        <w:rPr>
          <w:color w:val="auto"/>
          <w:sz w:val="12"/>
        </w:rPr>
      </w:pPr>
    </w:p>
    <w:p>
      <w:pPr>
        <w:pStyle w:val="7"/>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7"/>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7"/>
        <w:spacing w:before="2"/>
        <w:rPr>
          <w:color w:val="auto"/>
          <w:sz w:val="33"/>
        </w:rPr>
      </w:pPr>
    </w:p>
    <w:p>
      <w:pPr>
        <w:pStyle w:val="7"/>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rPr>
          <w:color w:val="auto"/>
          <w:sz w:val="26"/>
        </w:rPr>
      </w:pPr>
    </w:p>
    <w:p>
      <w:pPr>
        <w:pStyle w:val="7"/>
        <w:spacing w:before="2"/>
        <w:rPr>
          <w:color w:val="auto"/>
          <w:sz w:val="19"/>
        </w:rPr>
      </w:pPr>
    </w:p>
    <w:p>
      <w:pPr>
        <w:pStyle w:val="7"/>
        <w:ind w:left="541"/>
        <w:rPr>
          <w:color w:val="auto"/>
        </w:rPr>
      </w:pPr>
      <w:r>
        <w:rPr>
          <w:color w:val="auto"/>
        </w:rPr>
        <w:t>附：法定代表人及委托代理人身份证明文件电子件：</w:t>
      </w:r>
    </w:p>
    <w:p>
      <w:pPr>
        <w:pStyle w:val="7"/>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7"/>
        <w:spacing w:line="281" w:lineRule="exact"/>
        <w:ind w:left="541"/>
        <w:rPr>
          <w:color w:val="auto"/>
        </w:rPr>
      </w:pPr>
      <w:r>
        <w:rPr>
          <w:color w:val="auto"/>
        </w:rPr>
        <w:t>说明：</w:t>
      </w:r>
    </w:p>
    <w:p>
      <w:pPr>
        <w:pStyle w:val="24"/>
        <w:numPr>
          <w:ilvl w:val="0"/>
          <w:numId w:val="10"/>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24"/>
        <w:numPr>
          <w:ilvl w:val="0"/>
          <w:numId w:val="10"/>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24"/>
        <w:numPr>
          <w:ilvl w:val="0"/>
          <w:numId w:val="10"/>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24"/>
        <w:numPr>
          <w:ilvl w:val="0"/>
          <w:numId w:val="10"/>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7"/>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7"/>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spacing w:before="10"/>
        <w:rPr>
          <w:rFonts w:ascii="Times New Roman"/>
          <w:color w:val="auto"/>
          <w:sz w:val="25"/>
        </w:rPr>
      </w:pPr>
    </w:p>
    <w:p>
      <w:pPr>
        <w:pStyle w:val="7"/>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7"/>
        <w:rPr>
          <w:color w:val="auto"/>
          <w:sz w:val="26"/>
        </w:rPr>
      </w:pPr>
    </w:p>
    <w:p>
      <w:pPr>
        <w:pStyle w:val="7"/>
        <w:rPr>
          <w:color w:val="auto"/>
          <w:sz w:val="26"/>
        </w:rPr>
      </w:pPr>
    </w:p>
    <w:p>
      <w:pPr>
        <w:pStyle w:val="7"/>
        <w:spacing w:before="4"/>
        <w:rPr>
          <w:color w:val="auto"/>
          <w:sz w:val="28"/>
        </w:rPr>
      </w:pPr>
    </w:p>
    <w:p>
      <w:pPr>
        <w:pStyle w:val="7"/>
        <w:spacing w:before="1"/>
        <w:ind w:left="541"/>
        <w:rPr>
          <w:color w:val="auto"/>
        </w:rPr>
      </w:pPr>
      <w:r>
        <w:rPr>
          <w:color w:val="auto"/>
        </w:rPr>
        <w:t>附：法定代表人（单位负责人）身份证、护照等身份证明文件电子件：</w:t>
      </w:r>
    </w:p>
    <w:p>
      <w:pPr>
        <w:pStyle w:val="7"/>
        <w:rPr>
          <w:color w:val="auto"/>
          <w:sz w:val="20"/>
        </w:rPr>
      </w:pPr>
    </w:p>
    <w:p>
      <w:pPr>
        <w:pStyle w:val="7"/>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7"/>
        <w:rPr>
          <w:color w:val="auto"/>
          <w:sz w:val="20"/>
        </w:rPr>
      </w:pPr>
    </w:p>
    <w:p>
      <w:pPr>
        <w:pStyle w:val="7"/>
        <w:rPr>
          <w:color w:val="auto"/>
          <w:sz w:val="20"/>
        </w:rPr>
      </w:pPr>
    </w:p>
    <w:p>
      <w:pPr>
        <w:pStyle w:val="7"/>
        <w:spacing w:before="4"/>
        <w:rPr>
          <w:color w:val="auto"/>
          <w:sz w:val="20"/>
        </w:rPr>
      </w:pPr>
    </w:p>
    <w:p>
      <w:pPr>
        <w:pStyle w:val="7"/>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7"/>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r>
        <w:rPr>
          <w:color w:val="auto"/>
          <w:sz w:val="24"/>
        </w:rPr>
        <w:t>（实质性格式）</w:t>
      </w:r>
    </w:p>
    <w:p>
      <w:pPr>
        <w:pStyle w:val="7"/>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7"/>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7"/>
        <w:rPr>
          <w:rFonts w:ascii="Times New Roman"/>
          <w:color w:val="auto"/>
          <w:sz w:val="13"/>
        </w:rPr>
      </w:pPr>
    </w:p>
    <w:p>
      <w:pPr>
        <w:pStyle w:val="7"/>
        <w:spacing w:before="7"/>
        <w:rPr>
          <w:rFonts w:ascii="Times New Roman"/>
          <w:color w:val="auto"/>
          <w:sz w:val="13"/>
        </w:rPr>
      </w:pPr>
    </w:p>
    <w:tbl>
      <w:tblPr>
        <w:tblStyle w:val="17"/>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服务名称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比选</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比选</w:t>
            </w:r>
            <w:r>
              <w:rPr>
                <w:rFonts w:hint="eastAsia" w:ascii="宋体" w:hAnsi="宋体"/>
                <w:color w:val="auto"/>
                <w:sz w:val="24"/>
              </w:rPr>
              <w:t>报价包含：</w:t>
            </w:r>
          </w:p>
          <w:p>
            <w:pPr>
              <w:pStyle w:val="7"/>
              <w:rPr>
                <w:rFonts w:hint="eastAsia"/>
                <w:color w:val="auto"/>
              </w:rPr>
            </w:pPr>
            <w:r>
              <w:rPr>
                <w:rFonts w:hint="eastAsia"/>
                <w:color w:val="auto"/>
              </w:rPr>
              <w:t>（1）完成采购人指定服务内容的基本费用；</w:t>
            </w:r>
          </w:p>
          <w:p>
            <w:pPr>
              <w:pStyle w:val="7"/>
              <w:rPr>
                <w:rFonts w:hint="eastAsia"/>
                <w:color w:val="auto"/>
              </w:rPr>
            </w:pPr>
            <w:r>
              <w:rPr>
                <w:rFonts w:hint="eastAsia"/>
                <w:color w:val="auto"/>
              </w:rPr>
              <w:t>（2）完成项目所需的全部人工费用（包含但不限于派出工作人员的交通费、住宿费、伙食补助费）；</w:t>
            </w:r>
          </w:p>
          <w:p>
            <w:pPr>
              <w:pStyle w:val="7"/>
              <w:rPr>
                <w:rFonts w:hint="eastAsia"/>
                <w:color w:val="auto"/>
              </w:rPr>
            </w:pPr>
            <w:r>
              <w:rPr>
                <w:rFonts w:hint="eastAsia"/>
                <w:color w:val="auto"/>
              </w:rPr>
              <w:t>（3）其他费用（包括但不限于运输相关仪器设备的邮寄费、知识产权、技术支持、售后服务等费用）；</w:t>
            </w:r>
          </w:p>
          <w:p>
            <w:pPr>
              <w:pStyle w:val="7"/>
              <w:rPr>
                <w:rFonts w:hint="eastAsia"/>
                <w:color w:val="auto"/>
              </w:rPr>
            </w:pPr>
            <w:r>
              <w:rPr>
                <w:rFonts w:hint="eastAsia"/>
                <w:color w:val="auto"/>
              </w:rPr>
              <w:t>（4）必要的保险费用和各项税费等一切完成本项目服务所需要的费用。</w:t>
            </w:r>
          </w:p>
        </w:tc>
      </w:tr>
    </w:tbl>
    <w:p>
      <w:pPr>
        <w:pStyle w:val="7"/>
        <w:spacing w:before="3"/>
        <w:rPr>
          <w:rFonts w:ascii="Times New Roman"/>
          <w:color w:val="auto"/>
          <w:sz w:val="17"/>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10"/>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7"/>
        <w:rPr>
          <w:color w:val="auto"/>
          <w:sz w:val="28"/>
        </w:rPr>
      </w:pPr>
    </w:p>
    <w:p>
      <w:pPr>
        <w:pStyle w:val="7"/>
        <w:spacing w:before="3"/>
        <w:rPr>
          <w:color w:val="auto"/>
          <w:sz w:val="37"/>
        </w:rPr>
      </w:pPr>
    </w:p>
    <w:p>
      <w:pPr>
        <w:pStyle w:val="7"/>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7"/>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7"/>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10"/>
        <w:spacing w:line="400" w:lineRule="exact"/>
        <w:rPr>
          <w:ins w:id="2" w:author="szry" w:date="2025-07-08T10:45:18Z"/>
          <w:rFonts w:hint="eastAsia"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rPr>
          <w:rFonts w:hint="default"/>
          <w:color w:val="auto"/>
          <w:lang w:val="en-US" w:eastAsia="zh-CN"/>
        </w:rPr>
      </w:pPr>
    </w:p>
    <w:p>
      <w:pPr>
        <w:pStyle w:val="8"/>
        <w:rPr>
          <w:rFonts w:hint="default"/>
          <w:color w:val="auto"/>
          <w:lang w:val="en-US" w:eastAsia="zh-CN"/>
        </w:rPr>
      </w:pPr>
    </w:p>
    <w:p>
      <w:pPr>
        <w:pStyle w:val="8"/>
        <w:rPr>
          <w:rFonts w:hint="default"/>
          <w:color w:val="auto"/>
          <w:lang w:val="en-US" w:eastAsia="zh-CN"/>
        </w:rPr>
      </w:pPr>
    </w:p>
    <w:p>
      <w:pPr>
        <w:pStyle w:val="8"/>
        <w:rPr>
          <w:rFonts w:hint="default"/>
          <w:color w:val="auto"/>
          <w:lang w:val="en-US" w:eastAsia="zh-CN"/>
        </w:rPr>
      </w:pPr>
    </w:p>
    <w:p>
      <w:pPr>
        <w:pStyle w:val="8"/>
        <w:rPr>
          <w:rFonts w:hint="default"/>
          <w:color w:val="auto"/>
          <w:lang w:val="en-US" w:eastAsia="zh-CN"/>
        </w:rPr>
      </w:pPr>
    </w:p>
    <w:p>
      <w:pPr>
        <w:pStyle w:val="21"/>
        <w:rPr>
          <w:rFonts w:hint="default"/>
          <w:color w:val="auto"/>
          <w:lang w:val="en-US" w:eastAsia="zh-CN"/>
        </w:rPr>
      </w:pPr>
    </w:p>
    <w:p>
      <w:pPr>
        <w:pStyle w:val="21"/>
        <w:rPr>
          <w:rFonts w:hint="default"/>
          <w:color w:val="auto"/>
          <w:lang w:val="en-US" w:eastAsia="zh-CN"/>
        </w:rPr>
      </w:pPr>
    </w:p>
    <w:p>
      <w:pPr>
        <w:pStyle w:val="24"/>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7"/>
        <w:spacing w:before="3"/>
        <w:rPr>
          <w:color w:val="auto"/>
          <w:sz w:val="12"/>
        </w:rPr>
      </w:pPr>
    </w:p>
    <w:p>
      <w:pPr>
        <w:pStyle w:val="7"/>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8"/>
        <w:rPr>
          <w:rFonts w:ascii="Times New Roman"/>
          <w:color w:val="auto"/>
          <w:sz w:val="13"/>
        </w:rPr>
      </w:pPr>
    </w:p>
    <w:tbl>
      <w:tblPr>
        <w:tblStyle w:val="1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25"/>
              <w:spacing w:before="4"/>
              <w:rPr>
                <w:rFonts w:ascii="Times New Roman"/>
                <w:color w:val="auto"/>
                <w:sz w:val="32"/>
              </w:rPr>
            </w:pPr>
          </w:p>
          <w:p>
            <w:pPr>
              <w:pStyle w:val="25"/>
              <w:ind w:left="146"/>
              <w:rPr>
                <w:color w:val="auto"/>
                <w:sz w:val="24"/>
              </w:rPr>
            </w:pPr>
            <w:r>
              <w:rPr>
                <w:color w:val="auto"/>
                <w:sz w:val="24"/>
              </w:rPr>
              <w:t>序号</w:t>
            </w:r>
          </w:p>
        </w:tc>
        <w:tc>
          <w:tcPr>
            <w:tcW w:w="1482" w:type="dxa"/>
          </w:tcPr>
          <w:p>
            <w:pPr>
              <w:pStyle w:val="25"/>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院内比选</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25"/>
              <w:spacing w:before="4"/>
              <w:rPr>
                <w:rFonts w:ascii="Times New Roman"/>
                <w:color w:val="auto"/>
                <w:sz w:val="32"/>
              </w:rPr>
            </w:pPr>
          </w:p>
          <w:p>
            <w:pPr>
              <w:pStyle w:val="25"/>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25"/>
              <w:spacing w:before="4"/>
              <w:rPr>
                <w:rFonts w:ascii="Times New Roman"/>
                <w:color w:val="auto"/>
                <w:sz w:val="32"/>
              </w:rPr>
            </w:pPr>
          </w:p>
          <w:p>
            <w:pPr>
              <w:pStyle w:val="25"/>
              <w:ind w:left="583"/>
              <w:rPr>
                <w:color w:val="auto"/>
                <w:sz w:val="24"/>
              </w:rPr>
            </w:pPr>
            <w:r>
              <w:rPr>
                <w:color w:val="auto"/>
                <w:sz w:val="24"/>
              </w:rPr>
              <w:t>响应内容</w:t>
            </w:r>
          </w:p>
        </w:tc>
        <w:tc>
          <w:tcPr>
            <w:tcW w:w="1875" w:type="dxa"/>
          </w:tcPr>
          <w:p>
            <w:pPr>
              <w:pStyle w:val="25"/>
              <w:spacing w:before="4"/>
              <w:rPr>
                <w:rFonts w:ascii="Times New Roman"/>
                <w:color w:val="auto"/>
                <w:sz w:val="32"/>
              </w:rPr>
            </w:pPr>
          </w:p>
          <w:p>
            <w:pPr>
              <w:pStyle w:val="25"/>
              <w:ind w:left="456"/>
              <w:rPr>
                <w:color w:val="auto"/>
                <w:sz w:val="24"/>
              </w:rPr>
            </w:pPr>
            <w:r>
              <w:rPr>
                <w:color w:val="auto"/>
                <w:sz w:val="24"/>
              </w:rPr>
              <w:t>偏离情况</w:t>
            </w:r>
          </w:p>
        </w:tc>
        <w:tc>
          <w:tcPr>
            <w:tcW w:w="1009" w:type="dxa"/>
          </w:tcPr>
          <w:p>
            <w:pPr>
              <w:pStyle w:val="25"/>
              <w:spacing w:before="4"/>
              <w:rPr>
                <w:rFonts w:ascii="Times New Roman"/>
                <w:color w:val="auto"/>
                <w:sz w:val="32"/>
              </w:rPr>
            </w:pPr>
          </w:p>
          <w:p>
            <w:pPr>
              <w:pStyle w:val="25"/>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bl>
    <w:p>
      <w:pPr>
        <w:pStyle w:val="7"/>
        <w:rPr>
          <w:rFonts w:ascii="Times New Roman"/>
          <w:color w:val="auto"/>
          <w:sz w:val="20"/>
        </w:rPr>
      </w:pPr>
    </w:p>
    <w:p>
      <w:pPr>
        <w:pStyle w:val="7"/>
        <w:rPr>
          <w:rFonts w:ascii="Times New Roman"/>
          <w:color w:val="auto"/>
          <w:sz w:val="20"/>
        </w:rPr>
      </w:pPr>
    </w:p>
    <w:p>
      <w:pPr>
        <w:pStyle w:val="7"/>
        <w:spacing w:before="3"/>
        <w:rPr>
          <w:rFonts w:ascii="Times New Roman"/>
          <w:color w:val="auto"/>
          <w:sz w:val="27"/>
        </w:rPr>
      </w:pPr>
    </w:p>
    <w:p>
      <w:pPr>
        <w:pStyle w:val="7"/>
        <w:spacing w:before="67"/>
        <w:ind w:left="401"/>
        <w:rPr>
          <w:color w:val="auto"/>
        </w:rPr>
      </w:pPr>
      <w:r>
        <w:rPr>
          <w:color w:val="auto"/>
        </w:rPr>
        <w:t>注：</w:t>
      </w:r>
    </w:p>
    <w:p>
      <w:pPr>
        <w:pStyle w:val="24"/>
        <w:numPr>
          <w:ilvl w:val="0"/>
          <w:numId w:val="11"/>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比选</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7"/>
        <w:rPr>
          <w:color w:val="auto"/>
          <w:sz w:val="28"/>
        </w:rPr>
      </w:pPr>
    </w:p>
    <w:p>
      <w:pPr>
        <w:pStyle w:val="7"/>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24"/>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比选</w:t>
      </w:r>
      <w:r>
        <w:rPr>
          <w:color w:val="auto"/>
          <w:sz w:val="24"/>
        </w:rPr>
        <w:t>文件要求提供或供应商认为应附的其他材</w:t>
      </w:r>
      <w:r>
        <w:rPr>
          <w:rFonts w:hint="eastAsia"/>
          <w:color w:val="auto"/>
          <w:sz w:val="24"/>
          <w:lang w:eastAsia="zh-CN"/>
        </w:rPr>
        <w:t>料。</w:t>
      </w: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请将以上比选响应文件密封装订成册（一式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p>
    <w:p>
      <w:pPr>
        <w:pStyle w:val="24"/>
        <w:numPr>
          <w:ilvl w:val="0"/>
          <w:numId w:val="12"/>
        </w:numPr>
        <w:tabs>
          <w:tab w:val="left" w:pos="947"/>
        </w:tabs>
        <w:spacing w:before="72" w:after="0" w:line="240" w:lineRule="auto"/>
        <w:ind w:left="400" w:leftChars="0" w:right="0" w:rightChars="0"/>
        <w:jc w:val="center"/>
        <w:rPr>
          <w:rFonts w:hint="eastAsia" w:cs="宋体"/>
          <w:b/>
          <w:bCs/>
          <w:color w:val="auto"/>
          <w:sz w:val="44"/>
          <w:szCs w:val="44"/>
          <w:lang w:val="en-US" w:eastAsia="zh-CN"/>
        </w:rPr>
      </w:pPr>
      <w:r>
        <w:rPr>
          <w:rFonts w:hint="eastAsia" w:cs="宋体"/>
          <w:b/>
          <w:bCs/>
          <w:color w:val="auto"/>
          <w:sz w:val="44"/>
          <w:szCs w:val="44"/>
          <w:lang w:val="en-US" w:eastAsia="zh-CN"/>
        </w:rPr>
        <w:t xml:space="preserve">  合同文本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pPr>
        <w:pStyle w:val="30"/>
        <w:ind w:firstLine="2843" w:firstLineChars="1180"/>
        <w:rPr>
          <w:rFonts w:ascii="宋体" w:hAnsi="宋体" w:cs="宋体"/>
          <w:b/>
          <w:color w:val="000000" w:themeColor="text1"/>
          <w:szCs w:val="24"/>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adjustRightInd/>
        <w:spacing w:line="360" w:lineRule="auto"/>
        <w:ind w:left="176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pPr>
        <w:adjustRightInd/>
        <w:spacing w:line="360" w:lineRule="auto"/>
        <w:ind w:left="176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pPr>
        <w:adjustRightInd/>
        <w:spacing w:line="360" w:lineRule="auto"/>
        <w:ind w:left="176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pPr>
        <w:adjustRightInd/>
        <w:spacing w:line="360" w:lineRule="auto"/>
        <w:ind w:left="176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pPr>
        <w:adjustRightInd/>
        <w:spacing w:line="360" w:lineRule="auto"/>
        <w:ind w:left="176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r>
        <w:rPr>
          <w:color w:val="000000" w:themeColor="text1"/>
          <w:sz w:val="32"/>
          <w:szCs w:val="32"/>
          <w:u w:val="single"/>
          <w14:textFill>
            <w14:solidFill>
              <w14:schemeClr w14:val="tx1"/>
            </w14:solidFill>
          </w14:textFill>
        </w:rPr>
        <w:t xml:space="preserve">                             </w:t>
      </w:r>
    </w:p>
    <w:p>
      <w:pPr>
        <w:widowControl/>
        <w:jc w:val="left"/>
        <w:rPr>
          <w:rFonts w:ascii="宋体" w:hAnsi="宋体" w:cs="宋体"/>
          <w:color w:val="000000" w:themeColor="text1"/>
          <w:kern w:val="0"/>
          <w:sz w:val="24"/>
          <w14:textFill>
            <w14:solidFill>
              <w14:schemeClr w14:val="tx1"/>
            </w14:solidFill>
          </w14:textFill>
        </w:rPr>
        <w:sectPr>
          <w:headerReference r:id="rId16" w:type="default"/>
          <w:footerReference r:id="rId17" w:type="default"/>
          <w:pgSz w:w="11907" w:h="16840"/>
          <w:pgMar w:top="1474" w:right="1814" w:bottom="1474" w:left="1814" w:header="851" w:footer="851" w:gutter="0"/>
          <w:cols w:space="720" w:num="1"/>
        </w:sectPr>
      </w:pPr>
    </w:p>
    <w:p>
      <w:pPr>
        <w:spacing w:line="360" w:lineRule="auto"/>
        <w:jc w:val="center"/>
        <w:outlineLvl w:val="1"/>
        <w:rPr>
          <w:rFonts w:ascii="宋体" w:hAnsi="宋体" w:cs="宋体"/>
          <w:b/>
          <w:color w:val="000000" w:themeColor="text1"/>
          <w:sz w:val="24"/>
          <w14:textFill>
            <w14:solidFill>
              <w14:schemeClr w14:val="tx1"/>
            </w14:solidFill>
          </w14:textFill>
        </w:rPr>
      </w:pPr>
      <w:bookmarkStart w:id="0" w:name="_Toc22209"/>
      <w:r>
        <w:rPr>
          <w:rFonts w:hint="eastAsia" w:ascii="宋体" w:hAnsi="宋体"/>
          <w:b/>
          <w:color w:val="000000" w:themeColor="text1"/>
          <w:sz w:val="24"/>
          <w14:textFill>
            <w14:solidFill>
              <w14:schemeClr w14:val="tx1"/>
            </w14:solidFill>
          </w14:textFill>
        </w:rPr>
        <w:t>第一节 政府采购合同协议书</w:t>
      </w:r>
      <w:bookmarkEnd w:id="0"/>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中标通知书</w:t>
      </w:r>
      <w:r>
        <w:rPr>
          <w:rFonts w:hint="eastAsia" w:ascii="宋体" w:hAnsi="宋体"/>
          <w:color w:val="000000" w:themeColor="text1"/>
          <w:sz w:val="24"/>
          <w14:textFill>
            <w14:solidFill>
              <w14:schemeClr w14:val="tx1"/>
            </w14:solidFill>
          </w14:textFill>
        </w:rPr>
        <w:t>发出之日起</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个工作日内，按照采购文件确定的事项签订本合同。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pPr>
        <w:spacing w:line="360" w:lineRule="auto"/>
        <w:ind w:firstLine="482" w:firstLineChars="200"/>
        <w:rPr>
          <w:rFonts w:ascii="宋体" w:hAnsi="宋体"/>
          <w:color w:val="000000" w:themeColor="text1"/>
          <w:sz w:val="24"/>
          <w14:textFill>
            <w14:solidFill>
              <w14:schemeClr w14:val="tx1"/>
            </w14:solidFill>
          </w14:textFill>
        </w:rPr>
      </w:pPr>
      <w:bookmarkStart w:id="1" w:name="_Toc15367"/>
      <w:bookmarkStart w:id="2" w:name="_Toc19273"/>
      <w:bookmarkStart w:id="3" w:name="_Toc20421"/>
      <w:bookmarkStart w:id="4" w:name="_Toc22967"/>
      <w:bookmarkStart w:id="5" w:name="_Toc28855"/>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1"/>
      <w:bookmarkEnd w:id="2"/>
      <w:bookmarkEnd w:id="3"/>
      <w:bookmarkEnd w:id="4"/>
      <w:bookmarkEnd w:id="5"/>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中标通知书；</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投标文件（含澄清或者说明文件）；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pPr>
        <w:spacing w:line="360" w:lineRule="auto"/>
        <w:ind w:firstLine="482" w:firstLineChars="200"/>
        <w:rPr>
          <w:rFonts w:ascii="宋体" w:hAnsi="宋体"/>
          <w:b/>
          <w:color w:val="000000" w:themeColor="text1"/>
          <w:sz w:val="24"/>
          <w14:textFill>
            <w14:solidFill>
              <w14:schemeClr w14:val="tx1"/>
            </w14:solidFill>
          </w14:textFill>
        </w:rPr>
      </w:pPr>
      <w:bookmarkStart w:id="6" w:name="_Toc6773"/>
      <w:bookmarkStart w:id="7" w:name="_Toc22185"/>
      <w:bookmarkStart w:id="8" w:name="_Toc2918"/>
      <w:bookmarkStart w:id="9" w:name="_Toc18585"/>
      <w:bookmarkStart w:id="10" w:name="_Toc6311"/>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6"/>
      <w:bookmarkEnd w:id="7"/>
      <w:bookmarkEnd w:id="8"/>
      <w:bookmarkEnd w:id="9"/>
      <w:bookmarkEnd w:id="10"/>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pStyle w:val="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否）涉及货物。若涉及货物的，则：</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bookmarkStart w:id="11" w:name="_Toc13918"/>
      <w:bookmarkStart w:id="12" w:name="_Toc1386"/>
      <w:bookmarkStart w:id="13" w:name="_Toc5635"/>
      <w:bookmarkStart w:id="14" w:name="_Toc4929"/>
      <w:bookmarkStart w:id="15" w:name="_Toc21124"/>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11"/>
      <w:bookmarkEnd w:id="12"/>
      <w:bookmarkEnd w:id="13"/>
      <w:bookmarkEnd w:id="14"/>
      <w:bookmarkEnd w:id="15"/>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pPr>
              <w:pStyle w:val="3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pPr>
              <w:pStyle w:val="32"/>
              <w:spacing w:line="360" w:lineRule="auto"/>
              <w:ind w:firstLine="200"/>
              <w:jc w:val="center"/>
              <w:rPr>
                <w:rFonts w:hAnsi="宋体"/>
                <w:color w:val="000000" w:themeColor="text1"/>
                <w:sz w:val="24"/>
                <w:szCs w:val="24"/>
                <w14:textFill>
                  <w14:solidFill>
                    <w14:schemeClr w14:val="tx1"/>
                  </w14:solidFill>
                </w14:textFill>
              </w:rPr>
            </w:pPr>
          </w:p>
        </w:tc>
      </w:tr>
    </w:tbl>
    <w:p>
      <w:pPr>
        <w:spacing w:line="360" w:lineRule="auto"/>
        <w:ind w:firstLine="480" w:firstLineChars="200"/>
        <w:rPr>
          <w:rFonts w:ascii="宋体" w:hAnsi="宋体"/>
          <w:color w:val="000000" w:themeColor="text1"/>
          <w:sz w:val="24"/>
          <w14:textFill>
            <w14:solidFill>
              <w14:schemeClr w14:val="tx1"/>
            </w14:solidFill>
          </w14:textFill>
        </w:rPr>
      </w:pPr>
      <w:bookmarkStart w:id="16" w:name="_Toc26916"/>
      <w:bookmarkStart w:id="17" w:name="_Toc30158"/>
      <w:bookmarkStart w:id="18" w:name="_Toc3654"/>
      <w:bookmarkStart w:id="19" w:name="_Toc30506"/>
      <w:bookmarkStart w:id="20" w:name="_Toc14993"/>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1.3.3其他计价方式：                   。</w:t>
      </w:r>
    </w:p>
    <w:bookmarkEnd w:id="16"/>
    <w:bookmarkEnd w:id="17"/>
    <w:bookmarkEnd w:id="18"/>
    <w:bookmarkEnd w:id="19"/>
    <w:bookmarkEnd w:id="20"/>
    <w:p>
      <w:pPr>
        <w:pStyle w:val="31"/>
        <w:spacing w:before="0" w:beforeAutospacing="0" w:after="0" w:afterAutospacing="0" w:line="360" w:lineRule="auto"/>
        <w:ind w:firstLine="480"/>
        <w:rPr>
          <w:b/>
          <w:color w:val="000000" w:themeColor="text1"/>
          <w14:textFill>
            <w14:solidFill>
              <w14:schemeClr w14:val="tx1"/>
            </w14:solidFill>
          </w14:textFill>
        </w:rPr>
      </w:pPr>
      <w:bookmarkStart w:id="21" w:name="_Toc22618"/>
      <w:bookmarkStart w:id="22" w:name="_Toc1814"/>
      <w:bookmarkStart w:id="23" w:name="_Toc10340"/>
      <w:bookmarkStart w:id="24" w:name="_Toc31421"/>
      <w:bookmarkStart w:id="25" w:name="_Toc8772"/>
      <w:bookmarkStart w:id="26" w:name="_Toc3625"/>
      <w:bookmarkStart w:id="27" w:name="_Toc11108"/>
      <w:bookmarkStart w:id="28" w:name="_Toc4760"/>
      <w:r>
        <w:rPr>
          <w:rFonts w:hint="eastAsia"/>
          <w:b/>
          <w:color w:val="000000" w:themeColor="text1"/>
          <w14:textFill>
            <w14:solidFill>
              <w14:schemeClr w14:val="tx1"/>
            </w14:solidFill>
          </w14:textFill>
        </w:rPr>
        <w:t>1.4履约保证金</w:t>
      </w:r>
    </w:p>
    <w:p>
      <w:pPr>
        <w:pStyle w:val="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21"/>
      <w:bookmarkEnd w:id="22"/>
      <w:bookmarkEnd w:id="23"/>
      <w:r>
        <w:rPr>
          <w:rFonts w:hint="eastAsia" w:ascii="宋体" w:hAnsi="宋体" w:cs="宋体"/>
          <w:b/>
          <w:color w:val="000000" w:themeColor="text1"/>
          <w:sz w:val="24"/>
          <w14:textFill>
            <w14:solidFill>
              <w14:schemeClr w14:val="tx1"/>
            </w14:solidFill>
          </w14:textFill>
        </w:rPr>
        <w:t>预付款</w:t>
      </w:r>
    </w:p>
    <w:p>
      <w:pPr>
        <w:pStyle w:val="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31"/>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31"/>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pPr>
        <w:pStyle w:val="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24"/>
      <w:bookmarkEnd w:id="25"/>
      <w:bookmarkEnd w:id="26"/>
      <w:bookmarkEnd w:id="27"/>
      <w:bookmarkEnd w:id="28"/>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14:textFill>
            <w14:solidFill>
              <w14:schemeClr w14:val="tx1"/>
            </w14:solidFill>
          </w14:textFill>
        </w:rPr>
      </w:pPr>
      <w:bookmarkStart w:id="29" w:name="_Toc2375"/>
      <w:bookmarkStart w:id="30" w:name="_Toc24662"/>
      <w:bookmarkStart w:id="31" w:name="_Toc8586"/>
      <w:bookmarkStart w:id="32" w:name="_Toc3079"/>
      <w:bookmarkStart w:id="33" w:name="_Toc5698"/>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29"/>
      <w:bookmarkEnd w:id="30"/>
      <w:bookmarkEnd w:id="31"/>
      <w:bookmarkEnd w:id="32"/>
      <w:bookmarkEnd w:id="33"/>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pPr>
        <w:pStyle w:val="33"/>
        <w:rPr>
          <w:b/>
          <w:bCs/>
          <w:color w:val="000000" w:themeColor="text1"/>
          <w14:textFill>
            <w14:solidFill>
              <w14:schemeClr w14:val="tx1"/>
            </w14:solidFill>
          </w14:textFill>
        </w:rPr>
      </w:pPr>
      <w:r>
        <w:rPr>
          <w:rFonts w:hint="eastAsia"/>
          <w:color w:val="000000" w:themeColor="text1"/>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w:t>
      </w:r>
      <w:r>
        <w:rPr>
          <w:rFonts w:hint="eastAsia"/>
          <w:color w:val="000000" w:themeColor="text1"/>
          <w14:textFill>
            <w14:solidFill>
              <w14:schemeClr w14:val="tx1"/>
            </w14:solidFill>
          </w14:textFill>
        </w:rPr>
        <w:t xml:space="preserve">5（可根据情况修改）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bookmarkStart w:id="34" w:name="_Toc9497"/>
      <w:bookmarkStart w:id="35" w:name="_Toc26807"/>
      <w:bookmarkStart w:id="36" w:name="_Toc18683"/>
      <w:bookmarkStart w:id="37" w:name="_Toc32454"/>
      <w:bookmarkStart w:id="38" w:name="_Toc30329"/>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4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34"/>
    <w:bookmarkEnd w:id="35"/>
    <w:bookmarkEnd w:id="36"/>
    <w:bookmarkEnd w:id="37"/>
    <w:bookmarkEnd w:id="38"/>
    <w:p>
      <w:pPr>
        <w:spacing w:line="360" w:lineRule="auto"/>
        <w:ind w:firstLine="482" w:firstLineChars="200"/>
        <w:rPr>
          <w:rFonts w:ascii="宋体" w:hAnsi="宋体" w:cs="宋体"/>
          <w:b/>
          <w:color w:val="000000" w:themeColor="text1"/>
          <w:sz w:val="24"/>
          <w14:textFill>
            <w14:solidFill>
              <w14:schemeClr w14:val="tx1"/>
            </w14:solidFill>
          </w14:textFill>
        </w:rPr>
      </w:pPr>
      <w:bookmarkStart w:id="39" w:name="_Toc15583"/>
      <w:bookmarkStart w:id="40" w:name="_Toc16021"/>
      <w:bookmarkStart w:id="41" w:name="_Toc28375"/>
      <w:r>
        <w:rPr>
          <w:rFonts w:hint="eastAsia" w:ascii="宋体" w:hAnsi="宋体" w:cs="宋体"/>
          <w:b/>
          <w:color w:val="000000" w:themeColor="text1"/>
          <w:sz w:val="24"/>
          <w14:textFill>
            <w14:solidFill>
              <w14:schemeClr w14:val="tx1"/>
            </w14:solidFill>
          </w14:textFill>
        </w:rPr>
        <w:t>1.9合同争议的解决</w:t>
      </w:r>
      <w:bookmarkEnd w:id="39"/>
      <w:bookmarkEnd w:id="40"/>
      <w:bookmarkEnd w:id="41"/>
    </w:p>
    <w:p>
      <w:pPr>
        <w:spacing w:line="360" w:lineRule="auto"/>
        <w:ind w:left="-64" w:leftChars="-29" w:right="-44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pPr>
        <w:spacing w:line="360" w:lineRule="auto"/>
        <w:ind w:left="-440" w:leftChars="-200" w:right="-44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pPr>
        <w:spacing w:line="360" w:lineRule="auto"/>
        <w:ind w:left="-440" w:leftChars="-200" w:right="-440" w:rightChars="-200" w:firstLine="600" w:firstLineChars="250"/>
        <w:rPr>
          <w:rFonts w:hint="default" w:eastAsia="仿宋_GB2312"/>
          <w:color w:val="FF0000"/>
          <w:lang w:val="en-US" w:eastAsia="zh-CN"/>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pPr>
        <w:spacing w:line="360" w:lineRule="auto"/>
        <w:ind w:firstLine="482" w:firstLineChars="200"/>
        <w:rPr>
          <w:rFonts w:ascii="宋体" w:hAnsi="宋体" w:cs="宋体"/>
          <w:b/>
          <w:color w:val="000000" w:themeColor="text1"/>
          <w:sz w:val="24"/>
          <w14:textFill>
            <w14:solidFill>
              <w14:schemeClr w14:val="tx1"/>
            </w14:solidFill>
          </w14:textFill>
        </w:rPr>
      </w:pPr>
      <w:bookmarkStart w:id="42" w:name="_Toc7245"/>
      <w:bookmarkStart w:id="43" w:name="_Toc15322"/>
      <w:bookmarkStart w:id="44" w:name="_Toc11173"/>
      <w:r>
        <w:rPr>
          <w:rFonts w:hint="eastAsia" w:ascii="宋体" w:hAnsi="宋体" w:cs="宋体"/>
          <w:b/>
          <w:color w:val="000000" w:themeColor="text1"/>
          <w:sz w:val="24"/>
          <w14:textFill>
            <w14:solidFill>
              <w14:schemeClr w14:val="tx1"/>
            </w14:solidFill>
          </w14:textFill>
        </w:rPr>
        <w:t>2.</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14:textFill>
            <w14:solidFill>
              <w14:schemeClr w14:val="tx1"/>
            </w14:solidFill>
          </w14:textFill>
        </w:rPr>
        <w:t>合同生效</w:t>
      </w:r>
      <w:bookmarkEnd w:id="42"/>
      <w:bookmarkEnd w:id="43"/>
      <w:bookmarkEnd w:id="44"/>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lang w:val="zh-CN"/>
          <w14:textFill>
            <w14:solidFill>
              <w14:schemeClr w14:val="tx1"/>
            </w14:solidFill>
          </w14:textFill>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63"/>
        <w:gridCol w:w="2758"/>
        <w:gridCol w:w="2263"/>
        <w:gridCol w:w="242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甲方（采购人</w:t>
            </w:r>
            <w:r>
              <w:rPr>
                <w:rFonts w:hint="eastAsia" w:ascii="宋体" w:hAnsi="宋体"/>
                <w:color w:val="000000" w:themeColor="text1"/>
                <w:sz w:val="24"/>
                <w14:textFill>
                  <w14:solidFill>
                    <w14:schemeClr w14:val="tx1"/>
                  </w14:solidFill>
                </w14:textFill>
              </w:rPr>
              <w:t>、受采购人委托签订合同的单位或</w:t>
            </w:r>
            <w:r>
              <w:rPr>
                <w:rFonts w:hint="eastAsia" w:ascii="Calibri" w:hAnsi="Calibri"/>
                <w:color w:val="000000" w:themeColor="text1"/>
                <w:sz w:val="24"/>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pPr>
              <w:snapToGrid w:val="0"/>
              <w:spacing w:line="360" w:lineRule="auto"/>
              <w:ind w:firstLine="115" w:firstLineChars="48"/>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pPr>
              <w:widowControl/>
              <w:adjustRightInd/>
              <w:spacing w:line="360" w:lineRule="auto"/>
              <w:jc w:val="left"/>
              <w:rPr>
                <w:rFonts w:ascii="Calibri" w:hAnsi="Calibri"/>
                <w:color w:val="000000" w:themeColor="text1"/>
                <w:sz w:val="24"/>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360" w:lineRule="auto"/>
              <w:jc w:val="left"/>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注：涉及联合体或其他合同主体的信息应按上表格式加列。</w:t>
            </w:r>
          </w:p>
        </w:tc>
      </w:tr>
    </w:tbl>
    <w:p>
      <w:pPr>
        <w:widowControl/>
        <w:spacing w:line="560" w:lineRule="exact"/>
        <w:jc w:val="left"/>
        <w:rPr>
          <w:rFonts w:ascii="宋体" w:hAnsi="宋体"/>
          <w:b/>
          <w:color w:val="000000" w:themeColor="text1"/>
          <w:sz w:val="24"/>
          <w14:textFill>
            <w14:solidFill>
              <w14:schemeClr w14:val="tx1"/>
            </w14:solidFill>
          </w14:textFill>
        </w:rPr>
      </w:pPr>
    </w:p>
    <w:p>
      <w:pPr>
        <w:widowControl/>
        <w:adjustRightInd/>
        <w:jc w:val="left"/>
        <w:rPr>
          <w:rFonts w:ascii="宋体" w:hAnsi="宋体"/>
          <w:b/>
          <w:color w:val="000000" w:themeColor="text1"/>
          <w:sz w:val="24"/>
          <w14:textFill>
            <w14:solidFill>
              <w14:schemeClr w14:val="tx1"/>
            </w14:solidFill>
          </w14:textFill>
        </w:rPr>
      </w:pPr>
    </w:p>
    <w:p>
      <w:pPr>
        <w:pStyle w:val="2"/>
        <w:tabs>
          <w:tab w:val="left" w:pos="432"/>
        </w:tabs>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pStyle w:val="2"/>
        <w:tabs>
          <w:tab w:val="left" w:pos="432"/>
        </w:tabs>
        <w:jc w:val="both"/>
      </w:pPr>
    </w:p>
    <w:p>
      <w:pPr>
        <w:pStyle w:val="30"/>
        <w:spacing w:after="0"/>
        <w:ind w:firstLine="482"/>
        <w:jc w:val="center"/>
        <w:outlineLvl w:val="1"/>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第二节 政府采购合同通用条款</w:t>
      </w:r>
    </w:p>
    <w:p>
      <w:pPr>
        <w:spacing w:line="360" w:lineRule="auto"/>
        <w:ind w:firstLine="482" w:firstLineChars="200"/>
        <w:rPr>
          <w:rFonts w:ascii="宋体" w:hAnsi="宋体"/>
          <w:b/>
          <w:color w:val="000000" w:themeColor="text1"/>
          <w:sz w:val="24"/>
          <w14:textFill>
            <w14:solidFill>
              <w14:schemeClr w14:val="tx1"/>
            </w14:solidFill>
          </w14:textFill>
        </w:rPr>
      </w:pPr>
      <w:bookmarkStart w:id="45" w:name="_Toc19680"/>
      <w:bookmarkStart w:id="46" w:name="_Toc25079"/>
      <w:bookmarkStart w:id="47" w:name="_Toc14021"/>
      <w:bookmarkStart w:id="48" w:name="_Toc31297"/>
      <w:bookmarkStart w:id="49" w:name="_Toc5228"/>
      <w:r>
        <w:rPr>
          <w:rFonts w:ascii="宋体" w:hAnsi="宋体"/>
          <w:b/>
          <w:color w:val="000000" w:themeColor="text1"/>
          <w:sz w:val="24"/>
          <w14:textFill>
            <w14:solidFill>
              <w14:schemeClr w14:val="tx1"/>
            </w14:solidFill>
          </w14:textFill>
        </w:rPr>
        <w:t>2.1 定义</w:t>
      </w:r>
      <w:bookmarkEnd w:id="45"/>
      <w:bookmarkEnd w:id="46"/>
      <w:bookmarkEnd w:id="47"/>
      <w:bookmarkEnd w:id="48"/>
      <w:bookmarkEnd w:id="4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pPr>
        <w:spacing w:line="360" w:lineRule="auto"/>
        <w:ind w:firstLine="482" w:firstLineChars="200"/>
        <w:rPr>
          <w:rFonts w:ascii="宋体" w:hAnsi="宋体"/>
          <w:b/>
          <w:color w:val="000000" w:themeColor="text1"/>
          <w:sz w:val="24"/>
          <w14:textFill>
            <w14:solidFill>
              <w14:schemeClr w14:val="tx1"/>
            </w14:solidFill>
          </w14:textFill>
        </w:rPr>
      </w:pPr>
      <w:bookmarkStart w:id="50" w:name="_Toc31402"/>
      <w:bookmarkStart w:id="51" w:name="_Toc16752"/>
      <w:bookmarkStart w:id="52" w:name="_Toc3769"/>
      <w:bookmarkStart w:id="53" w:name="_Toc19539"/>
      <w:bookmarkStart w:id="54" w:name="_Toc23289"/>
      <w:r>
        <w:rPr>
          <w:rFonts w:ascii="宋体" w:hAnsi="宋体"/>
          <w:b/>
          <w:color w:val="000000" w:themeColor="text1"/>
          <w:sz w:val="24"/>
          <w14:textFill>
            <w14:solidFill>
              <w14:schemeClr w14:val="tx1"/>
            </w14:solidFill>
          </w14:textFill>
        </w:rPr>
        <w:t>2.2 技术规范</w:t>
      </w:r>
      <w:bookmarkEnd w:id="50"/>
      <w:bookmarkEnd w:id="51"/>
      <w:bookmarkEnd w:id="52"/>
      <w:bookmarkEnd w:id="53"/>
      <w:bookmarkEnd w:id="54"/>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pPr>
        <w:spacing w:line="360" w:lineRule="auto"/>
        <w:ind w:firstLine="482" w:firstLineChars="200"/>
        <w:rPr>
          <w:rFonts w:ascii="宋体" w:hAnsi="宋体"/>
          <w:b/>
          <w:color w:val="000000" w:themeColor="text1"/>
          <w:sz w:val="24"/>
          <w14:textFill>
            <w14:solidFill>
              <w14:schemeClr w14:val="tx1"/>
            </w14:solidFill>
          </w14:textFill>
        </w:rPr>
      </w:pPr>
      <w:bookmarkStart w:id="55" w:name="_Toc13673"/>
      <w:bookmarkStart w:id="56" w:name="_Toc9161"/>
      <w:bookmarkStart w:id="57" w:name="_Toc12412"/>
      <w:bookmarkStart w:id="58" w:name="_Toc27945"/>
      <w:bookmarkStart w:id="59" w:name="_Toc4133"/>
      <w:r>
        <w:rPr>
          <w:rFonts w:ascii="宋体" w:hAnsi="宋体"/>
          <w:b/>
          <w:color w:val="000000" w:themeColor="text1"/>
          <w:sz w:val="24"/>
          <w14:textFill>
            <w14:solidFill>
              <w14:schemeClr w14:val="tx1"/>
            </w14:solidFill>
          </w14:textFill>
        </w:rPr>
        <w:t>2.3 知识产权</w:t>
      </w:r>
      <w:bookmarkEnd w:id="55"/>
      <w:bookmarkEnd w:id="56"/>
      <w:bookmarkEnd w:id="57"/>
      <w:bookmarkEnd w:id="58"/>
      <w:bookmarkEnd w:id="5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pPr>
        <w:spacing w:line="360" w:lineRule="auto"/>
        <w:ind w:firstLine="482" w:firstLineChars="200"/>
        <w:rPr>
          <w:rFonts w:ascii="宋体" w:hAnsi="宋体"/>
          <w:b/>
          <w:color w:val="000000" w:themeColor="text1"/>
          <w:sz w:val="24"/>
          <w14:textFill>
            <w14:solidFill>
              <w14:schemeClr w14:val="tx1"/>
            </w14:solidFill>
          </w14:textFill>
        </w:rPr>
      </w:pPr>
      <w:bookmarkStart w:id="60" w:name="_Toc26555"/>
      <w:bookmarkStart w:id="61" w:name="_Toc15447"/>
      <w:bookmarkStart w:id="62" w:name="_Toc22011"/>
      <w:bookmarkStart w:id="63" w:name="_Toc31233"/>
      <w:bookmarkStart w:id="64" w:name="_Toc32670"/>
      <w:r>
        <w:rPr>
          <w:rFonts w:ascii="宋体" w:hAnsi="宋体"/>
          <w:b/>
          <w:color w:val="000000" w:themeColor="text1"/>
          <w:sz w:val="24"/>
          <w14:textFill>
            <w14:solidFill>
              <w14:schemeClr w14:val="tx1"/>
            </w14:solidFill>
          </w14:textFill>
        </w:rPr>
        <w:t>2.5 结算方式和付款条件</w:t>
      </w:r>
      <w:bookmarkEnd w:id="60"/>
      <w:bookmarkEnd w:id="61"/>
      <w:bookmarkEnd w:id="62"/>
      <w:bookmarkEnd w:id="63"/>
      <w:bookmarkEnd w:id="64"/>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65" w:name="_Toc13467"/>
      <w:bookmarkStart w:id="66" w:name="_Toc30507"/>
      <w:bookmarkStart w:id="67" w:name="_Toc13154"/>
      <w:bookmarkStart w:id="68" w:name="_Toc16163"/>
      <w:bookmarkStart w:id="69" w:name="_Toc18990"/>
      <w:r>
        <w:rPr>
          <w:rFonts w:ascii="宋体" w:hAnsi="宋体"/>
          <w:b/>
          <w:color w:val="000000" w:themeColor="text1"/>
          <w:sz w:val="24"/>
          <w14:textFill>
            <w14:solidFill>
              <w14:schemeClr w14:val="tx1"/>
            </w14:solidFill>
          </w14:textFill>
        </w:rPr>
        <w:t>2.6 技术资料和保密义务</w:t>
      </w:r>
      <w:bookmarkEnd w:id="65"/>
      <w:bookmarkEnd w:id="66"/>
      <w:bookmarkEnd w:id="67"/>
      <w:bookmarkEnd w:id="68"/>
      <w:bookmarkEnd w:id="6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color w:val="000000" w:themeColor="text1"/>
          <w:sz w:val="24"/>
          <w14:textFill>
            <w14:solidFill>
              <w14:schemeClr w14:val="tx1"/>
            </w14:solidFill>
          </w14:textFill>
        </w:rPr>
      </w:pPr>
      <w:bookmarkStart w:id="70"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70"/>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color w:val="000000" w:themeColor="text1"/>
          <w:sz w:val="24"/>
          <w14:textFill>
            <w14:solidFill>
              <w14:schemeClr w14:val="tx1"/>
            </w14:solidFill>
          </w14:textFill>
        </w:rPr>
      </w:pPr>
      <w:bookmarkStart w:id="71"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71"/>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pPr>
        <w:spacing w:line="360" w:lineRule="auto"/>
        <w:ind w:firstLine="482" w:firstLineChars="200"/>
        <w:rPr>
          <w:rFonts w:ascii="宋体" w:hAnsi="宋体"/>
          <w:b/>
          <w:color w:val="000000" w:themeColor="text1"/>
          <w:sz w:val="24"/>
          <w14:textFill>
            <w14:solidFill>
              <w14:schemeClr w14:val="tx1"/>
            </w14:solidFill>
          </w14:textFill>
        </w:rPr>
      </w:pPr>
      <w:bookmarkStart w:id="72"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72"/>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color w:val="000000" w:themeColor="text1"/>
          <w:sz w:val="24"/>
          <w14:textFill>
            <w14:solidFill>
              <w14:schemeClr w14:val="tx1"/>
            </w14:solidFill>
          </w14:textFill>
        </w:rPr>
      </w:pPr>
      <w:bookmarkStart w:id="73" w:name="_Toc21830"/>
      <w:bookmarkStart w:id="74" w:name="_Toc42"/>
      <w:bookmarkStart w:id="75" w:name="_Toc23368"/>
      <w:bookmarkStart w:id="76" w:name="_Toc10663"/>
      <w:bookmarkStart w:id="77" w:name="_Toc26689"/>
      <w:r>
        <w:rPr>
          <w:rFonts w:ascii="宋体" w:hAnsi="宋体"/>
          <w:b/>
          <w:color w:val="000000" w:themeColor="text1"/>
          <w:sz w:val="24"/>
          <w14:textFill>
            <w14:solidFill>
              <w14:schemeClr w14:val="tx1"/>
            </w14:solidFill>
          </w14:textFill>
        </w:rPr>
        <w:t>2.10 合同转让和分包</w:t>
      </w:r>
      <w:bookmarkEnd w:id="73"/>
      <w:bookmarkEnd w:id="74"/>
      <w:bookmarkEnd w:id="75"/>
      <w:bookmarkEnd w:id="76"/>
      <w:bookmarkEnd w:id="77"/>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pPr>
        <w:spacing w:line="360" w:lineRule="auto"/>
        <w:ind w:firstLine="482" w:firstLineChars="200"/>
        <w:rPr>
          <w:rFonts w:ascii="宋体" w:hAnsi="宋体"/>
          <w:b/>
          <w:color w:val="000000" w:themeColor="text1"/>
          <w:sz w:val="24"/>
          <w14:textFill>
            <w14:solidFill>
              <w14:schemeClr w14:val="tx1"/>
            </w14:solidFill>
          </w14:textFill>
        </w:rPr>
      </w:pPr>
      <w:bookmarkStart w:id="78" w:name="_Toc25571"/>
      <w:bookmarkStart w:id="79" w:name="_Toc26633"/>
      <w:bookmarkStart w:id="80" w:name="_Toc32494"/>
      <w:bookmarkStart w:id="81" w:name="_Toc14371"/>
      <w:bookmarkStart w:id="82" w:name="_Toc4720"/>
      <w:r>
        <w:rPr>
          <w:rFonts w:ascii="宋体" w:hAnsi="宋体"/>
          <w:b/>
          <w:color w:val="000000" w:themeColor="text1"/>
          <w:sz w:val="24"/>
          <w14:textFill>
            <w14:solidFill>
              <w14:schemeClr w14:val="tx1"/>
            </w14:solidFill>
          </w14:textFill>
        </w:rPr>
        <w:t>2.11 不可抗力</w:t>
      </w:r>
      <w:bookmarkEnd w:id="78"/>
      <w:bookmarkEnd w:id="79"/>
      <w:bookmarkEnd w:id="80"/>
      <w:bookmarkEnd w:id="81"/>
      <w:bookmarkEnd w:id="82"/>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83" w:name="_Toc25783"/>
      <w:bookmarkStart w:id="84" w:name="_Toc14115"/>
      <w:bookmarkStart w:id="85" w:name="_Toc24465"/>
      <w:bookmarkStart w:id="86" w:name="_Toc23854"/>
      <w:bookmarkStart w:id="87" w:name="_Toc3638"/>
      <w:r>
        <w:rPr>
          <w:rFonts w:ascii="宋体" w:hAnsi="宋体"/>
          <w:b/>
          <w:color w:val="000000" w:themeColor="text1"/>
          <w:sz w:val="24"/>
          <w14:textFill>
            <w14:solidFill>
              <w14:schemeClr w14:val="tx1"/>
            </w14:solidFill>
          </w14:textFill>
        </w:rPr>
        <w:t>2.12 税费</w:t>
      </w:r>
      <w:bookmarkEnd w:id="83"/>
      <w:bookmarkEnd w:id="84"/>
      <w:bookmarkEnd w:id="85"/>
      <w:bookmarkEnd w:id="86"/>
      <w:bookmarkEnd w:id="87"/>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pPr>
        <w:spacing w:line="360" w:lineRule="auto"/>
        <w:ind w:firstLine="482" w:firstLineChars="200"/>
        <w:rPr>
          <w:rFonts w:ascii="宋体" w:hAnsi="宋体"/>
          <w:b/>
          <w:color w:val="000000" w:themeColor="text1"/>
          <w:sz w:val="24"/>
          <w14:textFill>
            <w14:solidFill>
              <w14:schemeClr w14:val="tx1"/>
            </w14:solidFill>
          </w14:textFill>
        </w:rPr>
      </w:pPr>
      <w:bookmarkStart w:id="88" w:name="_Toc30105"/>
      <w:bookmarkStart w:id="89" w:name="_Toc25525"/>
      <w:bookmarkStart w:id="90" w:name="_Toc26883"/>
      <w:bookmarkStart w:id="91" w:name="_Toc7315"/>
      <w:bookmarkStart w:id="92" w:name="_Toc14814"/>
      <w:r>
        <w:rPr>
          <w:rFonts w:ascii="宋体" w:hAnsi="宋体"/>
          <w:b/>
          <w:color w:val="000000" w:themeColor="text1"/>
          <w:sz w:val="24"/>
          <w14:textFill>
            <w14:solidFill>
              <w14:schemeClr w14:val="tx1"/>
            </w14:solidFill>
          </w14:textFill>
        </w:rPr>
        <w:t>2.13 乙方破产</w:t>
      </w:r>
      <w:bookmarkEnd w:id="88"/>
      <w:bookmarkEnd w:id="89"/>
      <w:bookmarkEnd w:id="90"/>
      <w:bookmarkEnd w:id="91"/>
      <w:bookmarkEnd w:id="92"/>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93" w:name="_Toc23323"/>
      <w:bookmarkStart w:id="94" w:name="_Toc1123"/>
      <w:bookmarkStart w:id="95" w:name="_Toc2016"/>
      <w:r>
        <w:rPr>
          <w:rFonts w:ascii="宋体" w:hAnsi="宋体"/>
          <w:b/>
          <w:color w:val="000000" w:themeColor="text1"/>
          <w:sz w:val="24"/>
          <w14:textFill>
            <w14:solidFill>
              <w14:schemeClr w14:val="tx1"/>
            </w14:solidFill>
          </w14:textFill>
        </w:rPr>
        <w:t>2.14 合同中止、终止</w:t>
      </w:r>
      <w:bookmarkEnd w:id="93"/>
      <w:bookmarkEnd w:id="94"/>
      <w:bookmarkEnd w:id="95"/>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color w:val="000000" w:themeColor="text1"/>
          <w:sz w:val="24"/>
          <w14:textFill>
            <w14:solidFill>
              <w14:schemeClr w14:val="tx1"/>
            </w14:solidFill>
          </w14:textFill>
        </w:rPr>
      </w:pPr>
      <w:bookmarkStart w:id="96" w:name="_Toc1969"/>
      <w:bookmarkStart w:id="97" w:name="_Toc14525"/>
      <w:bookmarkStart w:id="98" w:name="_Toc17363"/>
      <w:r>
        <w:rPr>
          <w:rFonts w:ascii="宋体" w:hAnsi="宋体"/>
          <w:b/>
          <w:color w:val="000000" w:themeColor="text1"/>
          <w:sz w:val="24"/>
          <w14:textFill>
            <w14:solidFill>
              <w14:schemeClr w14:val="tx1"/>
            </w14:solidFill>
          </w14:textFill>
        </w:rPr>
        <w:t>2.15 检验和验收</w:t>
      </w:r>
      <w:bookmarkEnd w:id="96"/>
      <w:bookmarkEnd w:id="97"/>
      <w:bookmarkEnd w:id="98"/>
    </w:p>
    <w:p>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99" w:name="_Toc2308"/>
      <w:bookmarkStart w:id="100" w:name="_Toc12666"/>
      <w:bookmarkStart w:id="101" w:name="_Toc31892"/>
      <w:bookmarkStart w:id="102" w:name="_Toc25198"/>
      <w:bookmarkStart w:id="103" w:name="_Toc9808"/>
      <w:r>
        <w:rPr>
          <w:rFonts w:ascii="宋体" w:hAnsi="宋体"/>
          <w:b/>
          <w:color w:val="000000" w:themeColor="text1"/>
          <w:sz w:val="24"/>
          <w14:textFill>
            <w14:solidFill>
              <w14:schemeClr w14:val="tx1"/>
            </w14:solidFill>
          </w14:textFill>
        </w:rPr>
        <w:t>2.16 通知和送达</w:t>
      </w:r>
      <w:bookmarkEnd w:id="99"/>
      <w:bookmarkEnd w:id="100"/>
      <w:bookmarkEnd w:id="101"/>
      <w:bookmarkEnd w:id="102"/>
      <w:bookmarkEnd w:id="103"/>
    </w:p>
    <w:p>
      <w:pPr>
        <w:spacing w:line="360" w:lineRule="auto"/>
        <w:ind w:firstLine="480" w:firstLineChars="200"/>
        <w:rPr>
          <w:rFonts w:ascii="宋体" w:hAnsi="宋体"/>
          <w:color w:val="000000" w:themeColor="text1"/>
          <w:sz w:val="24"/>
          <w14:textFill>
            <w14:solidFill>
              <w14:schemeClr w14:val="tx1"/>
            </w14:solidFill>
          </w14:textFill>
        </w:rPr>
      </w:pPr>
      <w:bookmarkStart w:id="104" w:name="_Toc18401"/>
      <w:bookmarkStart w:id="105" w:name="_Toc27674"/>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104"/>
      <w:bookmarkEnd w:id="105"/>
    </w:p>
    <w:p>
      <w:pPr>
        <w:spacing w:line="360" w:lineRule="auto"/>
        <w:ind w:firstLine="482" w:firstLineChars="200"/>
        <w:rPr>
          <w:rFonts w:ascii="宋体" w:hAnsi="宋体"/>
          <w:b/>
          <w:color w:val="000000" w:themeColor="text1"/>
          <w:sz w:val="24"/>
          <w14:textFill>
            <w14:solidFill>
              <w14:schemeClr w14:val="tx1"/>
            </w14:solidFill>
          </w14:textFill>
        </w:rPr>
      </w:pPr>
      <w:bookmarkStart w:id="106" w:name="_Toc5063"/>
      <w:bookmarkStart w:id="107" w:name="_Toc12254"/>
      <w:bookmarkStart w:id="108" w:name="_Toc20808"/>
      <w:bookmarkStart w:id="109" w:name="_Toc28906"/>
      <w:bookmarkStart w:id="110" w:name="_Toc27644"/>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106"/>
      <w:bookmarkEnd w:id="107"/>
      <w:bookmarkEnd w:id="108"/>
      <w:bookmarkEnd w:id="109"/>
      <w:bookmarkEnd w:id="110"/>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pPr>
        <w:spacing w:line="360" w:lineRule="auto"/>
        <w:ind w:firstLine="482" w:firstLineChars="200"/>
        <w:rPr>
          <w:rFonts w:ascii="宋体" w:hAnsi="宋体" w:cs="宋体"/>
          <w:b/>
          <w:color w:val="000000" w:themeColor="text1"/>
          <w:sz w:val="24"/>
          <w14:textFill>
            <w14:solidFill>
              <w14:schemeClr w14:val="tx1"/>
            </w14:solidFill>
          </w14:textFill>
        </w:rPr>
      </w:pPr>
      <w:bookmarkStart w:id="111" w:name="_Toc18540"/>
      <w:bookmarkStart w:id="112" w:name="_Toc4355"/>
      <w:bookmarkStart w:id="113" w:name="_Toc30599"/>
      <w:r>
        <w:rPr>
          <w:rFonts w:hint="eastAsia" w:ascii="宋体" w:hAnsi="宋体" w:cs="宋体"/>
          <w:b/>
          <w:color w:val="000000" w:themeColor="text1"/>
          <w:sz w:val="24"/>
          <w14:textFill>
            <w14:solidFill>
              <w14:schemeClr w14:val="tx1"/>
            </w14:solidFill>
          </w14:textFill>
        </w:rPr>
        <w:t>2.18 计量单位</w:t>
      </w:r>
      <w:bookmarkEnd w:id="111"/>
      <w:bookmarkEnd w:id="112"/>
      <w:bookmarkEnd w:id="113"/>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2.20甲乙双方权利义务</w:t>
      </w: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第三节 政府采购合同专用条款</w:t>
      </w:r>
    </w:p>
    <w:p>
      <w:pPr>
        <w:spacing w:line="360" w:lineRule="auto"/>
        <w:ind w:left="-440" w:leftChars="-200" w:right="-44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26"/>
        <w:gridCol w:w="8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464"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464" w:type="pct"/>
            <w:vAlign w:val="center"/>
          </w:tcPr>
          <w:p>
            <w:pPr>
              <w:spacing w:line="360" w:lineRule="auto"/>
              <w:ind w:left="-440" w:leftChars="-200" w:right="-44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pPr>
              <w:spacing w:line="360" w:lineRule="auto"/>
              <w:ind w:left="-440" w:leftChars="-200" w:right="-44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4464" w:type="pct"/>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464" w:type="pct"/>
          </w:tcPr>
          <w:p>
            <w:pPr>
              <w:spacing w:line="360" w:lineRule="auto"/>
              <w:rPr>
                <w:rFonts w:ascii="宋体" w:hAnsi="宋体" w:cs="宋体"/>
                <w:color w:val="000000" w:themeColor="text1"/>
                <w:sz w:val="24"/>
                <w14:textFill>
                  <w14:solidFill>
                    <w14:schemeClr w14:val="tx1"/>
                  </w14:solidFill>
                </w14:textFill>
              </w:rPr>
            </w:pPr>
          </w:p>
        </w:tc>
      </w:tr>
    </w:tbl>
    <w:p>
      <w:pPr>
        <w:spacing w:line="360" w:lineRule="auto"/>
        <w:ind w:left="-440" w:leftChars="-200" w:right="-440" w:rightChars="-200" w:firstLine="480" w:firstLineChars="200"/>
        <w:rPr>
          <w:rFonts w:ascii="宋体" w:hAnsi="宋体" w:cs="宋体"/>
          <w:color w:val="000000" w:themeColor="text1"/>
          <w:sz w:val="24"/>
          <w14:textFill>
            <w14:solidFill>
              <w14:schemeClr w14:val="tx1"/>
            </w14:solidFill>
          </w14:textFill>
        </w:rPr>
      </w:pPr>
    </w:p>
    <w:p>
      <w:pPr>
        <w:pStyle w:val="24"/>
        <w:numPr>
          <w:ilvl w:val="0"/>
          <w:numId w:val="0"/>
        </w:numPr>
        <w:tabs>
          <w:tab w:val="left" w:pos="947"/>
        </w:tabs>
        <w:spacing w:before="72" w:after="0" w:line="240" w:lineRule="auto"/>
        <w:ind w:left="-320" w:leftChars="0" w:right="0" w:rightChars="0"/>
        <w:jc w:val="both"/>
        <w:rPr>
          <w:rFonts w:hint="default" w:cs="宋体"/>
          <w:b w:val="0"/>
          <w:bCs w:val="0"/>
          <w:color w:val="auto"/>
          <w:sz w:val="28"/>
          <w:szCs w:val="28"/>
          <w:lang w:val="en-US" w:eastAsia="zh-CN"/>
        </w:rPr>
      </w:pPr>
    </w:p>
    <w:sectPr>
      <w:headerReference r:id="rId18" w:type="default"/>
      <w:footerReference r:id="rId20" w:type="default"/>
      <w:headerReference r:id="rId19" w:type="even"/>
      <w:footerReference r:id="rId21"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4"/>
      </w:pBdr>
      <w:jc w:val="right"/>
    </w:pPr>
    <w:r>
      <w:t></w:t>
    </w:r>
    <w:r>
      <w:rPr>
        <w:rFonts w:hint="eastAsia"/>
      </w:rPr>
      <w:t xml:space="preserve">        </w:t>
    </w:r>
    <w:r>
      <w:rPr>
        <w:rFonts w:hint="eastAsia"/>
        <w:sz w:val="21"/>
        <w:szCs w:val="21"/>
      </w:rPr>
      <w:t xml:space="preserve"> </w:t>
    </w:r>
  </w:p>
  <w:p>
    <w:pPr>
      <w:pStyle w:val="15"/>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3">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4">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5">
    <w:nsid w:val="E418561E"/>
    <w:multiLevelType w:val="singleLevel"/>
    <w:tmpl w:val="E418561E"/>
    <w:lvl w:ilvl="0" w:tentative="0">
      <w:start w:val="7"/>
      <w:numFmt w:val="chineseCounting"/>
      <w:suff w:val="space"/>
      <w:lvlText w:val="第%1章"/>
      <w:lvlJc w:val="left"/>
      <w:rPr>
        <w:rFonts w:hint="eastAsia"/>
      </w:rPr>
    </w:lvl>
  </w:abstractNum>
  <w:abstractNum w:abstractNumId="6">
    <w:nsid w:val="024A6F86"/>
    <w:multiLevelType w:val="singleLevel"/>
    <w:tmpl w:val="024A6F86"/>
    <w:lvl w:ilvl="0" w:tentative="0">
      <w:start w:val="1"/>
      <w:numFmt w:val="chineseCounting"/>
      <w:suff w:val="nothing"/>
      <w:lvlText w:val="%1、"/>
      <w:lvlJc w:val="left"/>
      <w:rPr>
        <w:rFonts w:hint="eastAsia"/>
      </w:rPr>
    </w:lvl>
  </w:abstractNum>
  <w:abstractNum w:abstractNumId="7">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8">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9">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10">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1">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1"/>
  </w:num>
  <w:num w:numId="3">
    <w:abstractNumId w:val="0"/>
  </w:num>
  <w:num w:numId="4">
    <w:abstractNumId w:val="10"/>
  </w:num>
  <w:num w:numId="5">
    <w:abstractNumId w:val="2"/>
  </w:num>
  <w:num w:numId="6">
    <w:abstractNumId w:val="6"/>
  </w:num>
  <w:num w:numId="7">
    <w:abstractNumId w:val="3"/>
  </w:num>
  <w:num w:numId="8">
    <w:abstractNumId w:val="7"/>
  </w:num>
  <w:num w:numId="9">
    <w:abstractNumId w:val="4"/>
  </w:num>
  <w:num w:numId="10">
    <w:abstractNumId w:val="9"/>
  </w:num>
  <w:num w:numId="11">
    <w:abstractNumId w:val="8"/>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
    <w15:presenceInfo w15:providerId="WPS Office" w15:userId="3560455024"/>
  </w15:person>
  <w15:person w15:author="szry">
    <w15:presenceInfo w15:providerId="None" w15:userId="sz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05D59AD"/>
    <w:rsid w:val="00603E5B"/>
    <w:rsid w:val="02756715"/>
    <w:rsid w:val="02F0126A"/>
    <w:rsid w:val="036B1920"/>
    <w:rsid w:val="038B7FF7"/>
    <w:rsid w:val="038E2130"/>
    <w:rsid w:val="03C43F6D"/>
    <w:rsid w:val="03D2494A"/>
    <w:rsid w:val="03F64F74"/>
    <w:rsid w:val="04187324"/>
    <w:rsid w:val="047362AF"/>
    <w:rsid w:val="0538206F"/>
    <w:rsid w:val="05904A85"/>
    <w:rsid w:val="06D84747"/>
    <w:rsid w:val="07866ED4"/>
    <w:rsid w:val="07BF19EB"/>
    <w:rsid w:val="07F32417"/>
    <w:rsid w:val="0807327E"/>
    <w:rsid w:val="092B3F9A"/>
    <w:rsid w:val="09E923FF"/>
    <w:rsid w:val="0A9440C1"/>
    <w:rsid w:val="0B2A6903"/>
    <w:rsid w:val="0B607D66"/>
    <w:rsid w:val="0B805E55"/>
    <w:rsid w:val="0BFF42F6"/>
    <w:rsid w:val="0C9B5C11"/>
    <w:rsid w:val="0E706EB7"/>
    <w:rsid w:val="0F4D484E"/>
    <w:rsid w:val="0F6246F4"/>
    <w:rsid w:val="0F834FD0"/>
    <w:rsid w:val="100020FB"/>
    <w:rsid w:val="12D4132A"/>
    <w:rsid w:val="13B62E1E"/>
    <w:rsid w:val="13F659D1"/>
    <w:rsid w:val="14643FA6"/>
    <w:rsid w:val="148B3CA5"/>
    <w:rsid w:val="14C03B59"/>
    <w:rsid w:val="14C816C6"/>
    <w:rsid w:val="15EE7671"/>
    <w:rsid w:val="161D02B3"/>
    <w:rsid w:val="16A9163B"/>
    <w:rsid w:val="176628D4"/>
    <w:rsid w:val="18BE3CE8"/>
    <w:rsid w:val="18C50120"/>
    <w:rsid w:val="1A2B4389"/>
    <w:rsid w:val="1A3E038F"/>
    <w:rsid w:val="1B592DFA"/>
    <w:rsid w:val="1B6E0BCC"/>
    <w:rsid w:val="1BC34E17"/>
    <w:rsid w:val="1C251D99"/>
    <w:rsid w:val="1DB80F0C"/>
    <w:rsid w:val="1E543D83"/>
    <w:rsid w:val="1EBD55A1"/>
    <w:rsid w:val="201A656F"/>
    <w:rsid w:val="201A662C"/>
    <w:rsid w:val="20A51E25"/>
    <w:rsid w:val="211D570C"/>
    <w:rsid w:val="228725DE"/>
    <w:rsid w:val="23A6122E"/>
    <w:rsid w:val="24BC6F66"/>
    <w:rsid w:val="24DF25D0"/>
    <w:rsid w:val="24F60BD5"/>
    <w:rsid w:val="256F103A"/>
    <w:rsid w:val="25BF5B48"/>
    <w:rsid w:val="25E6248E"/>
    <w:rsid w:val="2881591F"/>
    <w:rsid w:val="298C16C1"/>
    <w:rsid w:val="29A86C0D"/>
    <w:rsid w:val="2A543414"/>
    <w:rsid w:val="2AFB1BBB"/>
    <w:rsid w:val="2C0A5A42"/>
    <w:rsid w:val="2C124F95"/>
    <w:rsid w:val="2DBB0EAC"/>
    <w:rsid w:val="2DFB0B56"/>
    <w:rsid w:val="2EB16067"/>
    <w:rsid w:val="2F5A7924"/>
    <w:rsid w:val="2F6977E8"/>
    <w:rsid w:val="2FF44D70"/>
    <w:rsid w:val="303F1B97"/>
    <w:rsid w:val="32885919"/>
    <w:rsid w:val="33631031"/>
    <w:rsid w:val="33BA3316"/>
    <w:rsid w:val="34361FA2"/>
    <w:rsid w:val="346A009E"/>
    <w:rsid w:val="355671A5"/>
    <w:rsid w:val="35800CB4"/>
    <w:rsid w:val="36417C2B"/>
    <w:rsid w:val="36C268A9"/>
    <w:rsid w:val="37272250"/>
    <w:rsid w:val="37361181"/>
    <w:rsid w:val="37845B61"/>
    <w:rsid w:val="37972846"/>
    <w:rsid w:val="37C517E0"/>
    <w:rsid w:val="383617E9"/>
    <w:rsid w:val="38780EBB"/>
    <w:rsid w:val="391B0C19"/>
    <w:rsid w:val="39A8130F"/>
    <w:rsid w:val="39D363F6"/>
    <w:rsid w:val="3A08321C"/>
    <w:rsid w:val="3AE5400B"/>
    <w:rsid w:val="3B6941DB"/>
    <w:rsid w:val="3B8A7844"/>
    <w:rsid w:val="3BF57787"/>
    <w:rsid w:val="3C2A7F4B"/>
    <w:rsid w:val="3CB02ABC"/>
    <w:rsid w:val="3CE00C0A"/>
    <w:rsid w:val="3D113A52"/>
    <w:rsid w:val="3D63071D"/>
    <w:rsid w:val="3E592BE4"/>
    <w:rsid w:val="3E975607"/>
    <w:rsid w:val="3EA31EB5"/>
    <w:rsid w:val="408A0D6F"/>
    <w:rsid w:val="41710D8A"/>
    <w:rsid w:val="428A5C7C"/>
    <w:rsid w:val="43721BCC"/>
    <w:rsid w:val="43FB2177"/>
    <w:rsid w:val="4400093B"/>
    <w:rsid w:val="44E63B52"/>
    <w:rsid w:val="468B2C43"/>
    <w:rsid w:val="47C305E6"/>
    <w:rsid w:val="484172A5"/>
    <w:rsid w:val="48BA6272"/>
    <w:rsid w:val="48C053E2"/>
    <w:rsid w:val="4995270F"/>
    <w:rsid w:val="49A543A0"/>
    <w:rsid w:val="4A600E45"/>
    <w:rsid w:val="4AF94F7C"/>
    <w:rsid w:val="4B355721"/>
    <w:rsid w:val="4C683798"/>
    <w:rsid w:val="4CA3155E"/>
    <w:rsid w:val="4CA51C44"/>
    <w:rsid w:val="4CF27BAD"/>
    <w:rsid w:val="4D271E3E"/>
    <w:rsid w:val="4DAA771E"/>
    <w:rsid w:val="4DB239BA"/>
    <w:rsid w:val="4E54029B"/>
    <w:rsid w:val="4E8106C2"/>
    <w:rsid w:val="4E9B5BCF"/>
    <w:rsid w:val="4E9D7DAC"/>
    <w:rsid w:val="4EA34034"/>
    <w:rsid w:val="4FC65897"/>
    <w:rsid w:val="4FCD483C"/>
    <w:rsid w:val="50712DAD"/>
    <w:rsid w:val="50AC365B"/>
    <w:rsid w:val="51D21C4D"/>
    <w:rsid w:val="51F0681A"/>
    <w:rsid w:val="52016D2F"/>
    <w:rsid w:val="55C26083"/>
    <w:rsid w:val="560C3F77"/>
    <w:rsid w:val="57D62237"/>
    <w:rsid w:val="585D6707"/>
    <w:rsid w:val="588B5B82"/>
    <w:rsid w:val="5893191D"/>
    <w:rsid w:val="58DF34DC"/>
    <w:rsid w:val="59B7675A"/>
    <w:rsid w:val="5A4C5316"/>
    <w:rsid w:val="5B2462A0"/>
    <w:rsid w:val="5CCF2E28"/>
    <w:rsid w:val="5CE06440"/>
    <w:rsid w:val="5D040BF3"/>
    <w:rsid w:val="5D0D40F2"/>
    <w:rsid w:val="5FB872AD"/>
    <w:rsid w:val="5FD63396"/>
    <w:rsid w:val="5FE4543D"/>
    <w:rsid w:val="5FE72927"/>
    <w:rsid w:val="6062779E"/>
    <w:rsid w:val="60E358BA"/>
    <w:rsid w:val="612D0A4F"/>
    <w:rsid w:val="61476D4A"/>
    <w:rsid w:val="61FA2939"/>
    <w:rsid w:val="624B2D13"/>
    <w:rsid w:val="62542052"/>
    <w:rsid w:val="62AC216E"/>
    <w:rsid w:val="62AC384C"/>
    <w:rsid w:val="637B390C"/>
    <w:rsid w:val="638317BE"/>
    <w:rsid w:val="64216735"/>
    <w:rsid w:val="6459149C"/>
    <w:rsid w:val="650B1BC5"/>
    <w:rsid w:val="65573103"/>
    <w:rsid w:val="66B25CD3"/>
    <w:rsid w:val="66E0187E"/>
    <w:rsid w:val="677F2F1A"/>
    <w:rsid w:val="679556B8"/>
    <w:rsid w:val="67A501B3"/>
    <w:rsid w:val="68247332"/>
    <w:rsid w:val="68867B09"/>
    <w:rsid w:val="68EF5AD9"/>
    <w:rsid w:val="695909E0"/>
    <w:rsid w:val="69907AEF"/>
    <w:rsid w:val="6AEB0553"/>
    <w:rsid w:val="6BD33503"/>
    <w:rsid w:val="6CEE1D54"/>
    <w:rsid w:val="6D1C133E"/>
    <w:rsid w:val="6D4C428C"/>
    <w:rsid w:val="6E07746D"/>
    <w:rsid w:val="6E2D6EC1"/>
    <w:rsid w:val="6E3902C4"/>
    <w:rsid w:val="6E5A2940"/>
    <w:rsid w:val="6E807AB4"/>
    <w:rsid w:val="6ECA5286"/>
    <w:rsid w:val="6FBC1B02"/>
    <w:rsid w:val="70A7383C"/>
    <w:rsid w:val="70AE74FB"/>
    <w:rsid w:val="70D41BF8"/>
    <w:rsid w:val="711D2BE3"/>
    <w:rsid w:val="714A1C51"/>
    <w:rsid w:val="730D0B63"/>
    <w:rsid w:val="73E5308D"/>
    <w:rsid w:val="74146A02"/>
    <w:rsid w:val="748138B6"/>
    <w:rsid w:val="74BA534B"/>
    <w:rsid w:val="75430D25"/>
    <w:rsid w:val="762B6B78"/>
    <w:rsid w:val="770615D9"/>
    <w:rsid w:val="77D00DF3"/>
    <w:rsid w:val="789F6EA7"/>
    <w:rsid w:val="797B398B"/>
    <w:rsid w:val="79803471"/>
    <w:rsid w:val="79BE58F3"/>
    <w:rsid w:val="79D26D3A"/>
    <w:rsid w:val="7B1340D7"/>
    <w:rsid w:val="7BEB5A71"/>
    <w:rsid w:val="7D6518E6"/>
    <w:rsid w:val="7D745F6D"/>
    <w:rsid w:val="7DA93C28"/>
    <w:rsid w:val="7DFE3170"/>
    <w:rsid w:val="7E7F4C94"/>
    <w:rsid w:val="7ED65C36"/>
    <w:rsid w:val="7F9B462D"/>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2">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4">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1"/>
    <w:rPr>
      <w:rFonts w:ascii="宋体" w:hAnsi="宋体" w:eastAsia="宋体" w:cs="宋体"/>
      <w:sz w:val="24"/>
      <w:szCs w:val="24"/>
      <w:lang w:val="en-US" w:eastAsia="zh-CN" w:bidi="ar-SA"/>
    </w:rPr>
  </w:style>
  <w:style w:type="paragraph" w:styleId="8">
    <w:name w:val="Body Text First Indent"/>
    <w:basedOn w:val="7"/>
    <w:qFormat/>
    <w:uiPriority w:val="0"/>
    <w:pPr>
      <w:spacing w:after="120" w:line="240" w:lineRule="auto"/>
      <w:ind w:firstLine="420" w:firstLineChars="100"/>
    </w:pPr>
    <w:rPr>
      <w:sz w:val="21"/>
    </w:rPr>
  </w:style>
  <w:style w:type="paragraph" w:styleId="9">
    <w:name w:val="Body Text Indent"/>
    <w:basedOn w:val="1"/>
    <w:semiHidden/>
    <w:unhideWhenUsed/>
    <w:qFormat/>
    <w:uiPriority w:val="99"/>
    <w:pPr>
      <w:spacing w:after="120"/>
      <w:ind w:left="420" w:leftChars="200"/>
    </w:pPr>
  </w:style>
  <w:style w:type="paragraph" w:styleId="10">
    <w:name w:val="Plain Text"/>
    <w:basedOn w:val="1"/>
    <w:next w:val="5"/>
    <w:qFormat/>
    <w:uiPriority w:val="0"/>
    <w:rPr>
      <w:rFonts w:ascii="宋体" w:hAnsi="Courier New" w:cs="Courier New"/>
      <w:szCs w:val="21"/>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ascii="宋体" w:hAnsi="宋体"/>
      <w:kern w:val="0"/>
    </w:rPr>
  </w:style>
  <w:style w:type="paragraph" w:styleId="1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2"/>
    <w:basedOn w:val="9"/>
    <w:unhideWhenUsed/>
    <w:qFormat/>
    <w:uiPriority w:val="99"/>
    <w:pPr>
      <w:ind w:left="0" w:leftChars="0"/>
      <w:jc w:val="left"/>
    </w:pPr>
    <w:rPr>
      <w:rFonts w:asciiTheme="majorEastAsia" w:hAnsiTheme="majorEastAsia" w:eastAsiaTheme="majorEastAsia"/>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0"/>
    <w:rPr>
      <w:sz w:val="21"/>
      <w:szCs w:val="21"/>
    </w:rPr>
  </w:style>
  <w:style w:type="paragraph" w:customStyle="1" w:styleId="21">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2">
    <w:name w:val="样式 首行缩进:  2 字符"/>
    <w:basedOn w:val="1"/>
    <w:qFormat/>
    <w:uiPriority w:val="0"/>
    <w:pPr>
      <w:spacing w:line="400" w:lineRule="exact"/>
      <w:ind w:firstLine="200" w:firstLineChars="200"/>
    </w:pPr>
    <w:rPr>
      <w:rFonts w:cs="宋体"/>
      <w:sz w:val="24"/>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1616" w:hanging="720"/>
    </w:pPr>
    <w:rPr>
      <w:rFonts w:ascii="宋体" w:hAnsi="宋体" w:eastAsia="宋体" w:cs="宋体"/>
      <w:lang w:val="en-US" w:eastAsia="zh-CN" w:bidi="ar-SA"/>
    </w:rPr>
  </w:style>
  <w:style w:type="paragraph" w:customStyle="1" w:styleId="25">
    <w:name w:val="Table Paragraph"/>
    <w:basedOn w:val="1"/>
    <w:qFormat/>
    <w:uiPriority w:val="1"/>
    <w:rPr>
      <w:rFonts w:ascii="宋体" w:hAnsi="宋体" w:eastAsia="宋体" w:cs="宋体"/>
      <w:lang w:val="en-US" w:eastAsia="zh-CN" w:bidi="ar-SA"/>
    </w:rPr>
  </w:style>
  <w:style w:type="paragraph" w:customStyle="1" w:styleId="26">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7">
    <w:name w:val="列出段落"/>
    <w:basedOn w:val="1"/>
    <w:qFormat/>
    <w:uiPriority w:val="0"/>
    <w:pPr>
      <w:ind w:firstLine="420" w:firstLineChars="200"/>
    </w:pPr>
  </w:style>
  <w:style w:type="character" w:customStyle="1" w:styleId="28">
    <w:name w:val="font31"/>
    <w:basedOn w:val="19"/>
    <w:uiPriority w:val="0"/>
    <w:rPr>
      <w:rFonts w:hint="default" w:ascii="等线" w:hAnsi="等线" w:eastAsia="等线" w:cs="等线"/>
      <w:color w:val="000000"/>
      <w:sz w:val="24"/>
      <w:szCs w:val="24"/>
      <w:u w:val="none"/>
    </w:rPr>
  </w:style>
  <w:style w:type="character" w:customStyle="1" w:styleId="29">
    <w:name w:val="font41"/>
    <w:basedOn w:val="19"/>
    <w:uiPriority w:val="0"/>
    <w:rPr>
      <w:rFonts w:ascii="Wingdings 2" w:hAnsi="Wingdings 2" w:eastAsia="Wingdings 2" w:cs="Wingdings 2"/>
      <w:color w:val="000000"/>
      <w:sz w:val="24"/>
      <w:szCs w:val="24"/>
      <w:u w:val="none"/>
    </w:rPr>
  </w:style>
  <w:style w:type="paragraph" w:customStyle="1" w:styleId="30">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2">
    <w:name w:val="纯文本1"/>
    <w:basedOn w:val="1"/>
    <w:qFormat/>
    <w:uiPriority w:val="0"/>
    <w:pPr>
      <w:adjustRightInd/>
    </w:pPr>
    <w:rPr>
      <w:rFonts w:ascii="宋体" w:hAnsi="Courier New"/>
      <w:kern w:val="0"/>
      <w:sz w:val="20"/>
      <w:szCs w:val="20"/>
    </w:rPr>
  </w:style>
  <w:style w:type="paragraph" w:customStyle="1" w:styleId="33">
    <w:name w:val="*正文"/>
    <w:basedOn w:val="1"/>
    <w:qFormat/>
    <w:uiPriority w:val="0"/>
    <w:pPr>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2764</Words>
  <Characters>2883</Characters>
  <TotalTime>1</TotalTime>
  <ScaleCrop>false</ScaleCrop>
  <LinksUpToDate>false</LinksUpToDate>
  <CharactersWithSpaces>2965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邓全章</cp:lastModifiedBy>
  <dcterms:modified xsi:type="dcterms:W3CDTF">2025-08-05T10:46:31Z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85BD6A6B3F7B46A9B29AB8F7607F5045_13</vt:lpwstr>
  </property>
  <property fmtid="{D5CDD505-2E9C-101B-9397-08002B2CF9AE}" pid="6" name="KSOTemplateDocerSaveRecord">
    <vt:lpwstr>eyJoZGlkIjoiZmIxOTgzYTdhYWI0Y2M1MGExMjRkNjE0NTBiOGY2MzEiLCJ1c2VySWQiOiIyMzU4OTg1NTAifQ==</vt:lpwstr>
  </property>
</Properties>
</file>